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A3F" w:rsidRDefault="007C4A3F" w:rsidP="007C4A3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Региональный оператор зоны Юг обратился к собственникам нежилых помещений с предложением принять участие в голосовании. </w:t>
      </w:r>
    </w:p>
    <w:p w:rsidR="007C4A3F" w:rsidRDefault="007C4A3F" w:rsidP="007C4A3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22 октября 2019 решением Иркутского областного суда было отменено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письмо  Министерства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жилищной политики, энергетики и транспорта Иркутской области №02-58-4748/19 "О расчетах с юридическими лицами". Теперь собственники нежилых помещений могут заключать договор с региональным оператором с методом расчета по отгруженным контейнерам и бункерам в месте их накопления (по факту). </w:t>
      </w:r>
    </w:p>
    <w:p w:rsidR="007C4A3F" w:rsidRDefault="007C4A3F" w:rsidP="007C4A3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то же время сложилась ситуация, что по независящим от регионального оператора и потребителей причинам, потребители до 1 ноября были лишены возможности перехода на данный метод учета. </w:t>
      </w:r>
    </w:p>
    <w:p w:rsidR="007C4A3F" w:rsidRDefault="007C4A3F" w:rsidP="007C4A3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 Для сохранения принципа справедливости и честности в расчетах ООО “РТ-НЭО Иркутск”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рассматривает  возможность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заключения с потребителями дополнительных соглашений о переводе их на учет по отгруженным контейнерам и бункерам с 01.01.2019 года и произведении перерасчета за указанный период. </w:t>
      </w:r>
      <w:r>
        <w:rPr>
          <w:rFonts w:ascii="Tahoma" w:hAnsi="Tahoma" w:cs="Tahoma"/>
          <w:color w:val="2C2C2C"/>
          <w:sz w:val="20"/>
          <w:szCs w:val="20"/>
        </w:rPr>
        <w:br/>
        <w:t>   Однако в связи с тем, что у регионального оператора отсутствовала обязанность расчета с потребителями по контейнерам, возникает сложность в восстановлении данных учета, которые позволили бы произвести объективные расчеты отгруженных отходов. </w:t>
      </w:r>
    </w:p>
    <w:p w:rsidR="007C4A3F" w:rsidRDefault="007C4A3F" w:rsidP="007C4A3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соответствии со статьей 24.10 Федерального закона “Об отходах производства и потребления” № 89-ФЗ определение объема и (или)массы твердых коммунальных отходов осуществляется в целях расчетов по договорам в области обращения с твердыми коммунальными отходами в соответствии с </w:t>
      </w:r>
      <w:hyperlink r:id="rId5" w:anchor="dst100008" w:tgtFrame="_blank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правилами</w:t>
        </w:r>
      </w:hyperlink>
      <w:r>
        <w:rPr>
          <w:rFonts w:ascii="Tahoma" w:hAnsi="Tahoma" w:cs="Tahoma"/>
          <w:color w:val="2C2C2C"/>
          <w:sz w:val="20"/>
          <w:szCs w:val="20"/>
        </w:rPr>
        <w:t> коммерческого учета объема и (или) массы твердых коммунальных отходов, утвержденными Правительством Российской Федерации. </w:t>
      </w:r>
      <w:r>
        <w:rPr>
          <w:rFonts w:ascii="Tahoma" w:hAnsi="Tahoma" w:cs="Tahoma"/>
          <w:color w:val="2C2C2C"/>
          <w:sz w:val="20"/>
          <w:szCs w:val="20"/>
        </w:rPr>
        <w:br/>
        <w:t>  Пунктом 5 Правил коммерческого учета объема и (или) массы твердых коммунальных отходов, утвержденных Постановлением Правительства РФ от 03.06.2016 N 505 (в ред. от 15.09.2018), установлено, что коммерческий учет твердых коммунальных отходов по факту осуществляется расчетным путем исходя из количества и объема контейнеров для накопления твердых коммунальных отходов, установленных в местах накопления твердых коммунальных отходов.</w:t>
      </w:r>
    </w:p>
    <w:p w:rsidR="007C4A3F" w:rsidRDefault="007C4A3F" w:rsidP="007C4A3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связи с указанным, “РТ-НЭО Иркутск” предлагает всем потребителям услуги принять участие в голосовании по определению того, какими данными необходимо руководствоваться для расчета стоимости оказанной услуги по факту за прошедший период, начиная с 01.01.2019 года. </w:t>
      </w:r>
    </w:p>
    <w:p w:rsidR="007C4A3F" w:rsidRDefault="007C4A3F" w:rsidP="007C4A3F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Принять участие в голосовании может каждый потребитель на сайте </w:t>
      </w:r>
      <w:proofErr w:type="spellStart"/>
      <w:r>
        <w:rPr>
          <w:rFonts w:ascii="Tahoma" w:hAnsi="Tahoma" w:cs="Tahoma"/>
          <w:b/>
          <w:bCs/>
          <w:color w:val="2C2C2C"/>
          <w:sz w:val="20"/>
          <w:szCs w:val="20"/>
        </w:rPr>
        <w:t>регоператора</w:t>
      </w:r>
      <w:proofErr w:type="spellEnd"/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  <w:hyperlink r:id="rId6" w:tgtFrame="_blank" w:history="1">
        <w:r>
          <w:rPr>
            <w:rStyle w:val="a6"/>
            <w:rFonts w:ascii="Tahoma" w:hAnsi="Tahoma" w:cs="Tahoma"/>
            <w:b/>
            <w:bCs/>
            <w:color w:val="44A1C7"/>
            <w:sz w:val="20"/>
            <w:szCs w:val="20"/>
          </w:rPr>
          <w:t>http://rtneo-irk.ru/golosovanie.php</w:t>
        </w:r>
      </w:hyperlink>
      <w:r>
        <w:rPr>
          <w:rFonts w:ascii="Tahoma" w:hAnsi="Tahoma" w:cs="Tahoma"/>
          <w:b/>
          <w:bCs/>
          <w:color w:val="2C2C2C"/>
          <w:sz w:val="20"/>
          <w:szCs w:val="20"/>
        </w:rPr>
        <w:t>.</w:t>
      </w:r>
    </w:p>
    <w:p w:rsidR="003E0016" w:rsidRPr="00CB4982" w:rsidRDefault="003E0016" w:rsidP="00CB4982">
      <w:bookmarkStart w:id="0" w:name="_GoBack"/>
      <w:bookmarkEnd w:id="0"/>
    </w:p>
    <w:sectPr w:rsidR="003E0016" w:rsidRPr="00CB4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3"/>
  </w:num>
  <w:num w:numId="2">
    <w:abstractNumId w:val="5"/>
  </w:num>
  <w:num w:numId="3">
    <w:abstractNumId w:val="2"/>
  </w:num>
  <w:num w:numId="4">
    <w:abstractNumId w:val="3"/>
  </w:num>
  <w:num w:numId="5">
    <w:abstractNumId w:val="8"/>
  </w:num>
  <w:num w:numId="6">
    <w:abstractNumId w:val="10"/>
  </w:num>
  <w:num w:numId="7">
    <w:abstractNumId w:val="0"/>
  </w:num>
  <w:num w:numId="8">
    <w:abstractNumId w:val="7"/>
  </w:num>
  <w:num w:numId="9">
    <w:abstractNumId w:val="4"/>
  </w:num>
  <w:num w:numId="10">
    <w:abstractNumId w:val="11"/>
  </w:num>
  <w:num w:numId="11">
    <w:abstractNumId w:val="12"/>
  </w:num>
  <w:num w:numId="12">
    <w:abstractNumId w:val="14"/>
  </w:num>
  <w:num w:numId="13">
    <w:abstractNumId w:val="9"/>
  </w:num>
  <w:num w:numId="14">
    <w:abstractNumId w:val="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80BBE"/>
    <w:rsid w:val="000B791B"/>
    <w:rsid w:val="000E7056"/>
    <w:rsid w:val="00125EA4"/>
    <w:rsid w:val="00136557"/>
    <w:rsid w:val="00146835"/>
    <w:rsid w:val="00164D1A"/>
    <w:rsid w:val="00194ABC"/>
    <w:rsid w:val="001A0AB8"/>
    <w:rsid w:val="001A3009"/>
    <w:rsid w:val="001F6416"/>
    <w:rsid w:val="0022644E"/>
    <w:rsid w:val="002E10B4"/>
    <w:rsid w:val="002E5E5C"/>
    <w:rsid w:val="00325EA2"/>
    <w:rsid w:val="00366946"/>
    <w:rsid w:val="003A765F"/>
    <w:rsid w:val="003E0016"/>
    <w:rsid w:val="00431121"/>
    <w:rsid w:val="00453AB2"/>
    <w:rsid w:val="00485A28"/>
    <w:rsid w:val="00491922"/>
    <w:rsid w:val="004F5501"/>
    <w:rsid w:val="00501CDA"/>
    <w:rsid w:val="00541825"/>
    <w:rsid w:val="00556817"/>
    <w:rsid w:val="00556ED0"/>
    <w:rsid w:val="005A684F"/>
    <w:rsid w:val="0060666D"/>
    <w:rsid w:val="0063174A"/>
    <w:rsid w:val="006675F0"/>
    <w:rsid w:val="00682247"/>
    <w:rsid w:val="006C497E"/>
    <w:rsid w:val="006D4769"/>
    <w:rsid w:val="007A1BFC"/>
    <w:rsid w:val="007C4A3F"/>
    <w:rsid w:val="00832AC2"/>
    <w:rsid w:val="00850373"/>
    <w:rsid w:val="00857835"/>
    <w:rsid w:val="00867013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C46FFF"/>
    <w:rsid w:val="00C546C4"/>
    <w:rsid w:val="00C77147"/>
    <w:rsid w:val="00CB4982"/>
    <w:rsid w:val="00CC08FC"/>
    <w:rsid w:val="00CD3F50"/>
    <w:rsid w:val="00D47A48"/>
    <w:rsid w:val="00D67022"/>
    <w:rsid w:val="00D93CF3"/>
    <w:rsid w:val="00DD6599"/>
    <w:rsid w:val="00E13426"/>
    <w:rsid w:val="00EB22B1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tneo-irk.ru/golosovanie.php" TargetMode="External"/><Relationship Id="rId5" Type="http://schemas.openxmlformats.org/officeDocument/2006/relationships/hyperlink" Target="http://www.consultant.ru/document/cons_doc_LAW_30732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77</cp:revision>
  <dcterms:created xsi:type="dcterms:W3CDTF">2022-11-02T01:23:00Z</dcterms:created>
  <dcterms:modified xsi:type="dcterms:W3CDTF">2022-11-02T03:11:00Z</dcterms:modified>
</cp:coreProperties>
</file>