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РОССИЙСКАЯ ФЕДЕРАЦИЯ</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ИРКУТСКАЯ ОБЛАСТЬ</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ИРКУТСКИЙ РАЙОН</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ОЕКСКОЕ МУНИЦИПАЛЬНОЕ ОБРАЗОВАНИЕ</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АДМИНИСТРАЦИЯ</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ПОСТАНОВЛЕНИЕ</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b/>
          <w:bCs/>
          <w:color w:val="2C2C2C"/>
          <w:sz w:val="20"/>
          <w:szCs w:val="20"/>
          <w:shd w:val="clear" w:color="auto" w:fill="FFFFFF"/>
          <w:lang w:eastAsia="ru-RU"/>
        </w:rPr>
        <w:t>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от «21» сентября 2020 года                                                                                                 № 114-п</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ОБ УТВЕРЖДЕНИИ ОСНОВНЫХ НАПРАВЛЕНИЙ БЮДЖЕТНОЙ И НАЛОГОВОЙ ПОЛИТИКИ ОЕКСКОГО МУНИЦИПАЛЬНОГО ОБРАЗОВАНИЯ НА 2021 ГОД И НА ПЛАНОВЫЙ ПЕРИОД 2022 И 2023 ГОДОВ</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color w:val="2C2C2C"/>
          <w:sz w:val="20"/>
          <w:szCs w:val="20"/>
          <w:shd w:val="clear" w:color="auto" w:fill="FFFFFF"/>
          <w:lang w:eastAsia="ru-RU"/>
        </w:rPr>
        <w:t>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xml:space="preserve">В соответствии со статьями 172, 184.2 Бюджетного кодекса Российской Федерации, руководствуясь статьей 14 Федерального Закона «Об общих принципах организации местного самоуправления в Российской Федерации» от 06.10.2003 года № 131-ФЗ, статьями 63, 64 Устава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статьей 14 Положения о бюджетном процессе в </w:t>
      </w:r>
      <w:proofErr w:type="spellStart"/>
      <w:r w:rsidRPr="00E62422">
        <w:rPr>
          <w:rFonts w:ascii="Tahoma" w:eastAsia="Times New Roman" w:hAnsi="Tahoma" w:cs="Tahoma"/>
          <w:color w:val="2C2C2C"/>
          <w:sz w:val="20"/>
          <w:szCs w:val="20"/>
          <w:shd w:val="clear" w:color="auto" w:fill="FFFFFF"/>
          <w:lang w:eastAsia="ru-RU"/>
        </w:rPr>
        <w:t>Оекском</w:t>
      </w:r>
      <w:proofErr w:type="spellEnd"/>
      <w:r w:rsidRPr="00E62422">
        <w:rPr>
          <w:rFonts w:ascii="Tahoma" w:eastAsia="Times New Roman" w:hAnsi="Tahoma" w:cs="Tahoma"/>
          <w:color w:val="2C2C2C"/>
          <w:sz w:val="20"/>
          <w:szCs w:val="20"/>
          <w:shd w:val="clear" w:color="auto" w:fill="FFFFFF"/>
          <w:lang w:eastAsia="ru-RU"/>
        </w:rPr>
        <w:t xml:space="preserve"> муниципальном образовании, администрация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ПОСТАНОВЛЯЕТ:</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color w:val="2C2C2C"/>
          <w:sz w:val="20"/>
          <w:szCs w:val="20"/>
          <w:shd w:val="clear" w:color="auto" w:fill="FFFFFF"/>
          <w:lang w:eastAsia="ru-RU"/>
        </w:rPr>
        <w:t>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xml:space="preserve">1. Утвердить «Основные направления бюджетной и налоговой политики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на 2021 год и на плановый период 2022 и 2023 годов» (Приложение №1).</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xml:space="preserve">2. Опубликовать настоящее постановление в информационном бюллетене «Вестник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 и на официальном сайте www.oek.su.</w:t>
      </w:r>
    </w:p>
    <w:p w:rsidR="00E62422" w:rsidRPr="00E62422" w:rsidRDefault="00E62422" w:rsidP="00E62422">
      <w:pPr>
        <w:shd w:val="clear" w:color="auto" w:fill="FFFFFF"/>
        <w:spacing w:line="240" w:lineRule="auto"/>
        <w:ind w:firstLine="0"/>
        <w:jc w:val="right"/>
        <w:rPr>
          <w:rFonts w:ascii="Tahoma" w:eastAsia="Times New Roman" w:hAnsi="Tahoma" w:cs="Tahoma"/>
          <w:color w:val="2C2C2C"/>
          <w:sz w:val="20"/>
          <w:szCs w:val="20"/>
          <w:lang w:eastAsia="ru-RU"/>
        </w:rPr>
      </w:pPr>
      <w:r w:rsidRPr="00E62422">
        <w:rPr>
          <w:rFonts w:ascii="Tahoma" w:eastAsia="Times New Roman" w:hAnsi="Tahoma" w:cs="Tahoma"/>
          <w:i/>
          <w:iCs/>
          <w:color w:val="2C2C2C"/>
          <w:sz w:val="20"/>
          <w:szCs w:val="20"/>
          <w:lang w:eastAsia="ru-RU"/>
        </w:rPr>
        <w:t> </w:t>
      </w:r>
      <w:r w:rsidRPr="00E62422">
        <w:rPr>
          <w:rFonts w:ascii="Tahoma" w:eastAsia="Times New Roman" w:hAnsi="Tahoma" w:cs="Tahoma"/>
          <w:i/>
          <w:iCs/>
          <w:color w:val="2C2C2C"/>
          <w:sz w:val="20"/>
          <w:szCs w:val="20"/>
          <w:lang w:eastAsia="ru-RU"/>
        </w:rPr>
        <w:br/>
        <w:t xml:space="preserve"> Глава администрации </w:t>
      </w:r>
      <w:proofErr w:type="spellStart"/>
      <w:r w:rsidRPr="00E62422">
        <w:rPr>
          <w:rFonts w:ascii="Tahoma" w:eastAsia="Times New Roman" w:hAnsi="Tahoma" w:cs="Tahoma"/>
          <w:i/>
          <w:iCs/>
          <w:color w:val="2C2C2C"/>
          <w:sz w:val="20"/>
          <w:szCs w:val="20"/>
          <w:lang w:eastAsia="ru-RU"/>
        </w:rPr>
        <w:t>Оекского</w:t>
      </w:r>
      <w:proofErr w:type="spellEnd"/>
      <w:r w:rsidRPr="00E62422">
        <w:rPr>
          <w:rFonts w:ascii="Tahoma" w:eastAsia="Times New Roman" w:hAnsi="Tahoma" w:cs="Tahoma"/>
          <w:i/>
          <w:iCs/>
          <w:color w:val="2C2C2C"/>
          <w:sz w:val="20"/>
          <w:szCs w:val="20"/>
          <w:lang w:eastAsia="ru-RU"/>
        </w:rPr>
        <w:t> муниципального образования О.А. Парфенов </w:t>
      </w:r>
      <w:r w:rsidRPr="00E62422">
        <w:rPr>
          <w:rFonts w:ascii="Tahoma" w:eastAsia="Times New Roman" w:hAnsi="Tahoma" w:cs="Tahoma"/>
          <w:i/>
          <w:iCs/>
          <w:color w:val="2C2C2C"/>
          <w:sz w:val="20"/>
          <w:szCs w:val="20"/>
          <w:lang w:eastAsia="ru-RU"/>
        </w:rPr>
        <w:br/>
        <w:t> </w:t>
      </w:r>
    </w:p>
    <w:p w:rsidR="00E62422" w:rsidRPr="00E62422" w:rsidRDefault="00E62422" w:rsidP="00E62422">
      <w:pPr>
        <w:shd w:val="clear" w:color="auto" w:fill="FFFFFF"/>
        <w:spacing w:line="240" w:lineRule="auto"/>
        <w:ind w:firstLine="0"/>
        <w:jc w:val="right"/>
        <w:rPr>
          <w:rFonts w:ascii="Tahoma" w:eastAsia="Times New Roman" w:hAnsi="Tahoma" w:cs="Tahoma"/>
          <w:color w:val="2C2C2C"/>
          <w:sz w:val="20"/>
          <w:szCs w:val="20"/>
          <w:lang w:eastAsia="ru-RU"/>
        </w:rPr>
      </w:pPr>
      <w:r w:rsidRPr="00E62422">
        <w:rPr>
          <w:rFonts w:ascii="Tahoma" w:eastAsia="Times New Roman" w:hAnsi="Tahoma" w:cs="Tahoma"/>
          <w:color w:val="2C2C2C"/>
          <w:sz w:val="20"/>
          <w:szCs w:val="20"/>
          <w:lang w:eastAsia="ru-RU"/>
        </w:rPr>
        <w:t> Приложение №1</w:t>
      </w:r>
    </w:p>
    <w:p w:rsidR="00E62422" w:rsidRPr="00E62422" w:rsidRDefault="00E62422" w:rsidP="00E62422">
      <w:pPr>
        <w:shd w:val="clear" w:color="auto" w:fill="FFFFFF"/>
        <w:spacing w:line="240" w:lineRule="auto"/>
        <w:ind w:firstLine="0"/>
        <w:jc w:val="right"/>
        <w:rPr>
          <w:rFonts w:ascii="Tahoma" w:eastAsia="Times New Roman" w:hAnsi="Tahoma" w:cs="Tahoma"/>
          <w:color w:val="2C2C2C"/>
          <w:sz w:val="20"/>
          <w:szCs w:val="20"/>
          <w:lang w:eastAsia="ru-RU"/>
        </w:rPr>
      </w:pPr>
      <w:r w:rsidRPr="00E62422">
        <w:rPr>
          <w:rFonts w:ascii="Tahoma" w:eastAsia="Times New Roman" w:hAnsi="Tahoma" w:cs="Tahoma"/>
          <w:color w:val="2C2C2C"/>
          <w:sz w:val="20"/>
          <w:szCs w:val="20"/>
          <w:lang w:eastAsia="ru-RU"/>
        </w:rPr>
        <w:t>к постановлению администрации</w:t>
      </w:r>
    </w:p>
    <w:p w:rsidR="00E62422" w:rsidRPr="00E62422" w:rsidRDefault="00E62422" w:rsidP="00E62422">
      <w:pPr>
        <w:shd w:val="clear" w:color="auto" w:fill="FFFFFF"/>
        <w:spacing w:line="240" w:lineRule="auto"/>
        <w:ind w:firstLine="0"/>
        <w:jc w:val="right"/>
        <w:rPr>
          <w:rFonts w:ascii="Tahoma" w:eastAsia="Times New Roman" w:hAnsi="Tahoma" w:cs="Tahoma"/>
          <w:color w:val="2C2C2C"/>
          <w:sz w:val="20"/>
          <w:szCs w:val="20"/>
          <w:lang w:eastAsia="ru-RU"/>
        </w:rPr>
      </w:pPr>
      <w:r w:rsidRPr="00E62422">
        <w:rPr>
          <w:rFonts w:ascii="Tahoma" w:eastAsia="Times New Roman" w:hAnsi="Tahoma" w:cs="Tahoma"/>
          <w:color w:val="2C2C2C"/>
          <w:sz w:val="20"/>
          <w:szCs w:val="20"/>
          <w:lang w:eastAsia="ru-RU"/>
        </w:rPr>
        <w:t> </w:t>
      </w:r>
      <w:proofErr w:type="spellStart"/>
      <w:r w:rsidRPr="00E62422">
        <w:rPr>
          <w:rFonts w:ascii="Tahoma" w:eastAsia="Times New Roman" w:hAnsi="Tahoma" w:cs="Tahoma"/>
          <w:color w:val="2C2C2C"/>
          <w:sz w:val="20"/>
          <w:szCs w:val="20"/>
          <w:lang w:eastAsia="ru-RU"/>
        </w:rPr>
        <w:t>Оекского</w:t>
      </w:r>
      <w:proofErr w:type="spellEnd"/>
      <w:r w:rsidRPr="00E62422">
        <w:rPr>
          <w:rFonts w:ascii="Tahoma" w:eastAsia="Times New Roman" w:hAnsi="Tahoma" w:cs="Tahoma"/>
          <w:color w:val="2C2C2C"/>
          <w:sz w:val="20"/>
          <w:szCs w:val="20"/>
          <w:lang w:eastAsia="ru-RU"/>
        </w:rPr>
        <w:t xml:space="preserve"> муниципального образования</w:t>
      </w:r>
    </w:p>
    <w:p w:rsidR="00E62422" w:rsidRPr="00E62422" w:rsidRDefault="00E62422" w:rsidP="00E62422">
      <w:pPr>
        <w:shd w:val="clear" w:color="auto" w:fill="FFFFFF"/>
        <w:spacing w:line="240" w:lineRule="auto"/>
        <w:ind w:firstLine="0"/>
        <w:jc w:val="right"/>
        <w:rPr>
          <w:rFonts w:ascii="Tahoma" w:eastAsia="Times New Roman" w:hAnsi="Tahoma" w:cs="Tahoma"/>
          <w:color w:val="2C2C2C"/>
          <w:sz w:val="20"/>
          <w:szCs w:val="20"/>
          <w:lang w:eastAsia="ru-RU"/>
        </w:rPr>
      </w:pPr>
      <w:r w:rsidRPr="00E62422">
        <w:rPr>
          <w:rFonts w:ascii="Tahoma" w:eastAsia="Times New Roman" w:hAnsi="Tahoma" w:cs="Tahoma"/>
          <w:color w:val="2C2C2C"/>
          <w:sz w:val="20"/>
          <w:szCs w:val="20"/>
          <w:lang w:eastAsia="ru-RU"/>
        </w:rPr>
        <w:t>от «21» сентября 2020 г. № 114-п</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color w:val="2C2C2C"/>
          <w:sz w:val="20"/>
          <w:szCs w:val="20"/>
          <w:shd w:val="clear" w:color="auto" w:fill="FFFFFF"/>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 xml:space="preserve">Основные направления бюджетной и налоговой политики </w:t>
      </w:r>
      <w:proofErr w:type="spellStart"/>
      <w:r w:rsidRPr="00E62422">
        <w:rPr>
          <w:rFonts w:ascii="Tahoma" w:eastAsia="Times New Roman" w:hAnsi="Tahoma" w:cs="Tahoma"/>
          <w:b/>
          <w:bCs/>
          <w:color w:val="2C2C2C"/>
          <w:sz w:val="20"/>
          <w:szCs w:val="20"/>
          <w:lang w:eastAsia="ru-RU"/>
        </w:rPr>
        <w:t>Оекского</w:t>
      </w:r>
      <w:proofErr w:type="spellEnd"/>
      <w:r w:rsidRPr="00E62422">
        <w:rPr>
          <w:rFonts w:ascii="Tahoma" w:eastAsia="Times New Roman" w:hAnsi="Tahoma" w:cs="Tahoma"/>
          <w:b/>
          <w:bCs/>
          <w:color w:val="2C2C2C"/>
          <w:sz w:val="20"/>
          <w:szCs w:val="20"/>
          <w:lang w:eastAsia="ru-RU"/>
        </w:rPr>
        <w:t xml:space="preserve"> муниципального образования на 2021 год и на плановый период 2022 и 2023 годов</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color w:val="2C2C2C"/>
          <w:sz w:val="20"/>
          <w:szCs w:val="20"/>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Общие положения</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color w:val="2C2C2C"/>
          <w:sz w:val="20"/>
          <w:szCs w:val="20"/>
          <w:shd w:val="clear" w:color="auto" w:fill="FFFFFF"/>
          <w:lang w:eastAsia="ru-RU"/>
        </w:rPr>
        <w:t>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xml:space="preserve">1. Основные направления бюджетной и налоговой политики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на 2021 год и на плановый период 2022 и 2023 годов (далее - Основные направления бюджетной и налоговой политики) подготовлены в соответствии с бюджетным законодательством Российской Федерации в целях составления проекта бюджета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на 2021 год и плановый период 2022 и 2023 годов.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xml:space="preserve">2. При подготовке Основных направлений бюджетной и налоговой политики были учтены положения проекта Основных направлений бюджетной, налоговой и таможенно-тарифной политики Российской Федерации на 2021 год и на плановый период 2022 и 2023 годов, положения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положения Послания Президента Российской Федерации Федеральному Собранию Российской Федерации от 15 января 2020 года, Указов Президента Российской Федерации, Программы комплексного социально-экономического развития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на 2017-2022 годы, которые являются основой при формировании и исполнении бюджета поселения на 2021 год и плановый период 2022 и 2023 годов.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Основные цели и задачи бюджетной политики на 2021-2023годы и дальнейшую перспективу</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b/>
          <w:bCs/>
          <w:color w:val="2C2C2C"/>
          <w:sz w:val="20"/>
          <w:szCs w:val="20"/>
          <w:shd w:val="clear" w:color="auto" w:fill="FFFFFF"/>
          <w:lang w:eastAsia="ru-RU"/>
        </w:rPr>
        <w:lastRenderedPageBreak/>
        <w:t>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Большинство задач в сфере бюджетной политики, поставленных в предыдущие годы, сохраняют свою актуальность.</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Бюджетная политика в части расходов в основном направлена на сохранение преемственности определенных ранее приоритетов, на их достижение и скорректирована с учетом текущей экономической ситуации и необходимостью реализации задач, поставленных в Указах Президента Российской Федерации.</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xml:space="preserve">В этот период будет продолжена реализация целей и задач, предусмотренных «Основными направлениями бюджетной и налоговой политики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на 2020 - 2022 годы», продолжится проведение бюджетной и налоговой политики, направленной на увеличение доходной части бюджета,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 В связи с чем, как и в предыдущие годы необходимо будет продолжить реализацию мероприятий, направленных на оптимизацию расходов.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Наиболее значимым инструментом бюджетирования, ориентированного на результат, являются муниципальные программы. Пересмотр количества и структур муниципальных программ, исходя из необходимости реализации возложенных на муниципальное образование полномочий, повышение эффективности и обоснованности показателей муниципальных программ, позволят повысить эффективность планирования и расходования бюджетных средств.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При формировании бюджета на 2021 год и на плановый период 2022 и 2023 годов особое внимание также будет уделяться решению следующих основных задач:</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1. Исполнение действующих расходных обязательств с учетом проведения их оптимизации и эффективного использования бюджетных средств.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2. 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3. Оптимизация осуществления закупок товаров, работ, услуг для обеспечения муниципальных нужд:</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3.1 совершенствование системы планирования обеспечения муниципальных нужд, в основу которой положен принцип неразрывной связи с бюджетным процессом;</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3.2 проведение работы по построению эффективной системы осуществления мониторинга за исполнением контрактов и принятием контрактных результатов;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3.3 усиление контроля над закупками, совершаемыми за счет бюджетных средств.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4. Совершенствование механизмов муниципального финансового контроля.</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5. Выполнение указов Президента.</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Основные приоритеты бюджетных расходов</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b/>
          <w:bCs/>
          <w:color w:val="2C2C2C"/>
          <w:sz w:val="20"/>
          <w:szCs w:val="20"/>
          <w:shd w:val="clear" w:color="auto" w:fill="FFFFFF"/>
          <w:lang w:eastAsia="ru-RU"/>
        </w:rPr>
        <w:t>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Основные приоритеты бюджетных расходов на 2021 год и на плановый период 2022 и 2023 годов: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1. Сохранение своей приоритетности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 установленных указами Президента Российской Федерации.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2. С 1 января 2021 года минимальный размер оплаты труда планируется в размере 12 392 рублей. В связи с этим, в целях недопущения нивелирования дифференциации в оплате труда работников бюджетной сферы, требуется обеспечение справедливой дифференциации в уровне оплаты труда «указных» и «неуказных» категорий работников, а также технического (низкоквалифицированного) и основного (высококвалифицированного) персонала с пошаговым изысканием дополнительных источников финансирования и одновременным повышением производительности труда в бюджетном секторе.</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3. Развитие социального обслуживания населения, формирование здорового образа жизни, развитие массовой физической культуры и спорта. Обеспечение комплексной безопасности социальных объектов, особенно предоставляющих услуги детям и престарелым гражданам, а также обеспечение полноценного доступа инвалидов к объектам и услугам социальной сферы.</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xml:space="preserve">4. Приоритетными направлениями расходов дорожного фонда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остаются расходы на содержание автомобильных дорог общего пользования местного значения, расположенных в границах населенных пунктов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с учетом установленных нормативов, производство планово-предупредительного, текущего и капитального ремонта, строительство и развитие сети автомобильных дорог. Планирование расходов дорожного фонда </w:t>
      </w:r>
      <w:proofErr w:type="spellStart"/>
      <w:r w:rsidRPr="00E62422">
        <w:rPr>
          <w:rFonts w:ascii="Tahoma" w:eastAsia="Times New Roman" w:hAnsi="Tahoma" w:cs="Tahoma"/>
          <w:color w:val="2C2C2C"/>
          <w:sz w:val="20"/>
          <w:szCs w:val="20"/>
          <w:shd w:val="clear" w:color="auto" w:fill="FFFFFF"/>
          <w:lang w:eastAsia="ru-RU"/>
        </w:rPr>
        <w:t>Оекского</w:t>
      </w:r>
      <w:proofErr w:type="spellEnd"/>
      <w:r w:rsidRPr="00E62422">
        <w:rPr>
          <w:rFonts w:ascii="Tahoma" w:eastAsia="Times New Roman" w:hAnsi="Tahoma" w:cs="Tahoma"/>
          <w:color w:val="2C2C2C"/>
          <w:sz w:val="20"/>
          <w:szCs w:val="20"/>
          <w:shd w:val="clear" w:color="auto" w:fill="FFFFFF"/>
          <w:lang w:eastAsia="ru-RU"/>
        </w:rPr>
        <w:t xml:space="preserve"> муниципального образования будет осуществляется на уровне не менее фактически полученных за отчетный финансовый год доходов, учитываемых при </w:t>
      </w:r>
      <w:r w:rsidRPr="00E62422">
        <w:rPr>
          <w:rFonts w:ascii="Tahoma" w:eastAsia="Times New Roman" w:hAnsi="Tahoma" w:cs="Tahoma"/>
          <w:color w:val="2C2C2C"/>
          <w:sz w:val="20"/>
          <w:szCs w:val="20"/>
          <w:shd w:val="clear" w:color="auto" w:fill="FFFFFF"/>
          <w:lang w:eastAsia="ru-RU"/>
        </w:rPr>
        <w:lastRenderedPageBreak/>
        <w:t>формировании дорожных фондов.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5. Создание качественного предпринимательского и инвестиционного климата на территории муниципального образования, укрепление доверия между властью и бизнесом.</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6. Обеспечение сохранности и доступа к культурным ценностям, поддержка творческой деятельности, традиционной народной культуры, современной культуры, творческих проектов для детской и юношеской аудитории, соответствующих стратегическим задачам общества.</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w:t>
      </w:r>
    </w:p>
    <w:p w:rsidR="00E62422" w:rsidRPr="00E62422" w:rsidRDefault="00E62422" w:rsidP="00E62422">
      <w:pPr>
        <w:shd w:val="clear" w:color="auto" w:fill="FFFFFF"/>
        <w:spacing w:line="240" w:lineRule="auto"/>
        <w:ind w:firstLine="0"/>
        <w:jc w:val="center"/>
        <w:rPr>
          <w:rFonts w:ascii="Tahoma" w:eastAsia="Times New Roman" w:hAnsi="Tahoma" w:cs="Tahoma"/>
          <w:color w:val="2C2C2C"/>
          <w:sz w:val="20"/>
          <w:szCs w:val="20"/>
          <w:lang w:eastAsia="ru-RU"/>
        </w:rPr>
      </w:pPr>
      <w:r w:rsidRPr="00E62422">
        <w:rPr>
          <w:rFonts w:ascii="Tahoma" w:eastAsia="Times New Roman" w:hAnsi="Tahoma" w:cs="Tahoma"/>
          <w:b/>
          <w:bCs/>
          <w:color w:val="2C2C2C"/>
          <w:sz w:val="20"/>
          <w:szCs w:val="20"/>
          <w:lang w:eastAsia="ru-RU"/>
        </w:rPr>
        <w:t>Основные направления налоговой политики и формирование доходов бюджетной системы</w:t>
      </w:r>
    </w:p>
    <w:p w:rsidR="00E62422" w:rsidRPr="00E62422" w:rsidRDefault="00E62422" w:rsidP="00E62422">
      <w:pPr>
        <w:spacing w:line="240" w:lineRule="auto"/>
        <w:ind w:firstLine="0"/>
        <w:jc w:val="left"/>
        <w:rPr>
          <w:rFonts w:eastAsia="Times New Roman" w:cs="Times New Roman"/>
          <w:sz w:val="24"/>
          <w:szCs w:val="24"/>
          <w:lang w:eastAsia="ru-RU"/>
        </w:rPr>
      </w:pPr>
      <w:r w:rsidRPr="00E62422">
        <w:rPr>
          <w:rFonts w:ascii="Tahoma" w:eastAsia="Times New Roman" w:hAnsi="Tahoma" w:cs="Tahoma"/>
          <w:b/>
          <w:bCs/>
          <w:color w:val="2C2C2C"/>
          <w:sz w:val="20"/>
          <w:szCs w:val="20"/>
          <w:shd w:val="clear" w:color="auto" w:fill="FFFFFF"/>
          <w:lang w:eastAsia="ru-RU"/>
        </w:rPr>
        <w:t> </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В трехлетней перспективе 2021-2023 годов приоритеты в области налоговой политики остаются такими же как и ранее – создание эффективной и стабильной налоговой системы, обеспечивающей бюджетную устойчивость в среднесрочной и долгосрочной перспективе:</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1. Повышение доходов бюджетной системы за счет улучшения администрирования, а также за счет сокращения перечня и/или отмены льгот в отношении налогов и сборов, зачисляемых в местные бюджеты.</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2. Проведение совместно с налоговым органом информационно-разъяснительной работы с налогоплательщиками, направленной на повышение налоговой грамотности и побуждению налогоплательщиков к своевременному исполнению налоговых обязательств.</w:t>
      </w:r>
      <w:r w:rsidRPr="00E62422">
        <w:rPr>
          <w:rFonts w:ascii="Tahoma" w:eastAsia="Times New Roman" w:hAnsi="Tahoma" w:cs="Tahoma"/>
          <w:color w:val="2C2C2C"/>
          <w:sz w:val="20"/>
          <w:szCs w:val="20"/>
          <w:lang w:eastAsia="ru-RU"/>
        </w:rPr>
        <w:br/>
      </w:r>
      <w:r w:rsidRPr="00E62422">
        <w:rPr>
          <w:rFonts w:ascii="Tahoma" w:eastAsia="Times New Roman" w:hAnsi="Tahoma" w:cs="Tahoma"/>
          <w:color w:val="2C2C2C"/>
          <w:sz w:val="20"/>
          <w:szCs w:val="20"/>
          <w:shd w:val="clear" w:color="auto" w:fill="FFFFFF"/>
          <w:lang w:eastAsia="ru-RU"/>
        </w:rPr>
        <w:t> </w:t>
      </w:r>
    </w:p>
    <w:p w:rsidR="00E62422" w:rsidRPr="00E62422" w:rsidRDefault="00E62422" w:rsidP="00E62422">
      <w:pPr>
        <w:shd w:val="clear" w:color="auto" w:fill="FFFFFF"/>
        <w:spacing w:line="240" w:lineRule="auto"/>
        <w:ind w:firstLine="0"/>
        <w:jc w:val="right"/>
        <w:rPr>
          <w:rFonts w:ascii="Tahoma" w:eastAsia="Times New Roman" w:hAnsi="Tahoma" w:cs="Tahoma"/>
          <w:color w:val="2C2C2C"/>
          <w:sz w:val="20"/>
          <w:szCs w:val="20"/>
          <w:lang w:eastAsia="ru-RU"/>
        </w:rPr>
      </w:pPr>
      <w:r w:rsidRPr="00E62422">
        <w:rPr>
          <w:rFonts w:ascii="Tahoma" w:eastAsia="Times New Roman" w:hAnsi="Tahoma" w:cs="Tahoma"/>
          <w:i/>
          <w:iCs/>
          <w:color w:val="2C2C2C"/>
          <w:sz w:val="20"/>
          <w:szCs w:val="20"/>
          <w:lang w:eastAsia="ru-RU"/>
        </w:rPr>
        <w:t xml:space="preserve">Начальник финансово-экономического отдела администрации </w:t>
      </w:r>
      <w:proofErr w:type="spellStart"/>
      <w:r w:rsidRPr="00E62422">
        <w:rPr>
          <w:rFonts w:ascii="Tahoma" w:eastAsia="Times New Roman" w:hAnsi="Tahoma" w:cs="Tahoma"/>
          <w:i/>
          <w:iCs/>
          <w:color w:val="2C2C2C"/>
          <w:sz w:val="20"/>
          <w:szCs w:val="20"/>
          <w:lang w:eastAsia="ru-RU"/>
        </w:rPr>
        <w:t>Оекского</w:t>
      </w:r>
      <w:proofErr w:type="spellEnd"/>
      <w:r w:rsidRPr="00E62422">
        <w:rPr>
          <w:rFonts w:ascii="Tahoma" w:eastAsia="Times New Roman" w:hAnsi="Tahoma" w:cs="Tahoma"/>
          <w:i/>
          <w:iCs/>
          <w:color w:val="2C2C2C"/>
          <w:sz w:val="20"/>
          <w:szCs w:val="20"/>
          <w:lang w:eastAsia="ru-RU"/>
        </w:rPr>
        <w:t xml:space="preserve"> МО Л.Г. </w:t>
      </w:r>
      <w:proofErr w:type="spellStart"/>
      <w:r w:rsidRPr="00E62422">
        <w:rPr>
          <w:rFonts w:ascii="Tahoma" w:eastAsia="Times New Roman" w:hAnsi="Tahoma" w:cs="Tahoma"/>
          <w:i/>
          <w:iCs/>
          <w:color w:val="2C2C2C"/>
          <w:sz w:val="20"/>
          <w:szCs w:val="20"/>
          <w:lang w:eastAsia="ru-RU"/>
        </w:rPr>
        <w:t>Арсёнова</w:t>
      </w:r>
      <w:proofErr w:type="spellEnd"/>
    </w:p>
    <w:p w:rsidR="003E0016" w:rsidRPr="00BC45B7" w:rsidRDefault="003E0016" w:rsidP="00BC45B7">
      <w:bookmarkStart w:id="0" w:name="_GoBack"/>
      <w:bookmarkEnd w:id="0"/>
    </w:p>
    <w:sectPr w:rsidR="003E0016" w:rsidRPr="00BC45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C191B"/>
    <w:rsid w:val="000D581E"/>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0645"/>
    <w:rsid w:val="004D33CB"/>
    <w:rsid w:val="004F7538"/>
    <w:rsid w:val="00500DF2"/>
    <w:rsid w:val="0051191C"/>
    <w:rsid w:val="0052765B"/>
    <w:rsid w:val="00532B92"/>
    <w:rsid w:val="00556AF8"/>
    <w:rsid w:val="00572249"/>
    <w:rsid w:val="005722CD"/>
    <w:rsid w:val="00591862"/>
    <w:rsid w:val="005A0B69"/>
    <w:rsid w:val="005B3585"/>
    <w:rsid w:val="005C0170"/>
    <w:rsid w:val="005D1FA2"/>
    <w:rsid w:val="005D2BCB"/>
    <w:rsid w:val="005E1C80"/>
    <w:rsid w:val="005F7EB2"/>
    <w:rsid w:val="0061636E"/>
    <w:rsid w:val="00644553"/>
    <w:rsid w:val="00665482"/>
    <w:rsid w:val="006A45D7"/>
    <w:rsid w:val="006A7E4A"/>
    <w:rsid w:val="006C7538"/>
    <w:rsid w:val="006D071C"/>
    <w:rsid w:val="00702938"/>
    <w:rsid w:val="007062C9"/>
    <w:rsid w:val="0072014A"/>
    <w:rsid w:val="007659E7"/>
    <w:rsid w:val="0079386E"/>
    <w:rsid w:val="007A4518"/>
    <w:rsid w:val="007A57A3"/>
    <w:rsid w:val="007A7AD5"/>
    <w:rsid w:val="007C3805"/>
    <w:rsid w:val="007D2B1A"/>
    <w:rsid w:val="0080037A"/>
    <w:rsid w:val="008073A6"/>
    <w:rsid w:val="00816795"/>
    <w:rsid w:val="00822683"/>
    <w:rsid w:val="00836131"/>
    <w:rsid w:val="00836F73"/>
    <w:rsid w:val="0086600E"/>
    <w:rsid w:val="00894FC6"/>
    <w:rsid w:val="008A140B"/>
    <w:rsid w:val="008A7A57"/>
    <w:rsid w:val="008E7E1B"/>
    <w:rsid w:val="0090063D"/>
    <w:rsid w:val="00934A7D"/>
    <w:rsid w:val="0094609E"/>
    <w:rsid w:val="00973E73"/>
    <w:rsid w:val="009828D6"/>
    <w:rsid w:val="00987FE5"/>
    <w:rsid w:val="009973B1"/>
    <w:rsid w:val="009B06F1"/>
    <w:rsid w:val="009E65BE"/>
    <w:rsid w:val="00A00D5F"/>
    <w:rsid w:val="00A25A0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C45B7"/>
    <w:rsid w:val="00BD5FB8"/>
    <w:rsid w:val="00BE677E"/>
    <w:rsid w:val="00BF55BA"/>
    <w:rsid w:val="00C14921"/>
    <w:rsid w:val="00C15099"/>
    <w:rsid w:val="00C24ACC"/>
    <w:rsid w:val="00C8246D"/>
    <w:rsid w:val="00C85742"/>
    <w:rsid w:val="00CA4965"/>
    <w:rsid w:val="00CD0CB7"/>
    <w:rsid w:val="00CD6B02"/>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62422"/>
    <w:rsid w:val="00E87977"/>
    <w:rsid w:val="00E948CA"/>
    <w:rsid w:val="00EA564B"/>
    <w:rsid w:val="00EB056C"/>
    <w:rsid w:val="00EB677E"/>
    <w:rsid w:val="00EC74A9"/>
    <w:rsid w:val="00ED54BB"/>
    <w:rsid w:val="00EE3919"/>
    <w:rsid w:val="00EF7AA3"/>
    <w:rsid w:val="00F36CFC"/>
    <w:rsid w:val="00F455A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488</TotalTime>
  <Pages>3</Pages>
  <Words>1274</Words>
  <Characters>7262</Characters>
  <Application>Microsoft Office Word</Application>
  <DocSecurity>0</DocSecurity>
  <Lines>60</Lines>
  <Paragraphs>17</Paragraphs>
  <ScaleCrop>false</ScaleCrop>
  <Company>diakov.net</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195</cp:revision>
  <dcterms:created xsi:type="dcterms:W3CDTF">2022-10-31T02:01:00Z</dcterms:created>
  <dcterms:modified xsi:type="dcterms:W3CDTF">2022-10-31T10:10:00Z</dcterms:modified>
</cp:coreProperties>
</file>