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B86" w:rsidRPr="006A2B86" w:rsidRDefault="006A2B86" w:rsidP="006A2B86">
      <w:pPr>
        <w:shd w:val="clear" w:color="auto" w:fill="FFFFFF"/>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1. ПАСПОРТ ПРОГРАММЫ</w:t>
      </w:r>
    </w:p>
    <w:tbl>
      <w:tblPr>
        <w:tblpPr w:leftFromText="36" w:rightFromText="36" w:vertAnchor="text"/>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32"/>
        <w:gridCol w:w="6324"/>
      </w:tblGrid>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Наименование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«Комплексного развития социальной инфраструктуры Оёкского муниципального образования Иркутского района Иркутской области на период 2018 – 2030 гг.»</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Основания для разработки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Градостроительный кодекс Российской Федерации;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Федеральный закон от 06.10.2003 № 131-ФЗ «Об общих принципах организации местного самоуправления в Российской Федерации»;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Генеральный план Оёкского муниципального образования Иркутского района Иркутской области;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Распоряжение администрации Оекского муниципального образования от 18.01.2017г. №11-р «О разработке программы комплексного развития социальной инфраструктуры Оекского муниципального образования на период 2017-2030гг.»</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Разработчики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Администрация Оёкского муниципального образования – администрация сельского поселения</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Цели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безопасности, качества и эффективности использования населением объектов социальной инфраструктуры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доступности объектов социальной инфраструктуры сельского поселения для населения в соответствии с нормативами градостроительного проектирования;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сбалансированного развития систем социальной инфраструктуры муниципального образования до 2030 года в соответствии с установленными потребностями в объектах социальной инфраструктуры;</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достижение расчетного уровня обеспеченности населения сельского поселения услугами объектов социальной инфраструктуры в соответствии с нормативами градостроительного проектирования;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эффективности функционирования действующей социальной инфраструктуры сельского поселения.</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Задачи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анализ социально-экономического развития сельского поселения, наличия и уровня обеспеченности населения сельского поселения услугами объектов социальной инфраструктуры;</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прогноз потребностей населения муниципального образования в объектах социальной инфраструктуры до 2030 года;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формирование перечня мероприятий (инвестиционных проектов) по проектированию, строительству, реконструкции объектов социальной инфраструктуры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оценка объемов и источников финансирования мероприятий по проектированию, строительству, реконструкции объектов социальной инфраструктуры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 оценка эффективности реализации мероприятий и соответствия нормативам градостроительного проектирования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предложения по совершенствованию нормативно-правового и информационного обеспечения развития социальной инфраструктуры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предложения по повышению доступности среды для маломобильных групп населения сельского поселения.</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Целевые показатели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рост ожидаемой продолжительности жизни населения Оёкского муниципального образования;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показателя рождаемости;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сокращение уровня безработицы;</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доли детей в возрасте от 3 до 7 лет, охваченных дошкольным образованием;</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доли детей охваченных школьным образованием;</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уровня обеспеченности населения объектами здравоохранения;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доли населения обеспеченной объектами культуры в соответствии с нормативными значениями;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доли населения обеспеченными спортивными объектами в соответствии с нормативными значениями;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количества населения, систематически занимающегося физической культурой и спортом.</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Этапы и сроки реализации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Срок реализации Программы – 2018 – 2030 г.г.</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Этапы реализации: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Первый этап – 2018 – 2022 г.г.</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Второй этап – 2022 – 2030 г.г.</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Перечень основных мероприятий, запланированных программой</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Мероприятия по строительству объектов местного значения поселения в областях: образование, физическая культура и массовый спорт, культура;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Мероприятия по строительству объектов местного значения поселения в области здравоохранения.</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Объемы и источники финансирования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Общий объем финансовых средств, необходимых для реализации мероприятий Программы, составит:</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2 797 717 000 руб., в т.ч. по годам:</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2019 год – 42 000 000 руб;</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2020 год -5 000 000 руб.;</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2021 год – 1 000 000 000 руб.;</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2022 год – 73 000 000 руб.;</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2023-2030 годы – 1 677 717 000 руб.</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Источники финансирования бюджет Оекского муниципального образования, бюджет Иркутской области, федеральный бюджет</w:t>
            </w:r>
          </w:p>
        </w:tc>
      </w:tr>
      <w:tr w:rsidR="006A2B86" w:rsidRPr="006A2B86" w:rsidTr="006A2B86">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Ожидаемые результаты реализации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1.Сбалансированное развитие сети объектов социальной инфраструктуры сельского поселения;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Увеличение уровня обеспеченности населения сельского поселения объектами социальной инфраструктуры:</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области образования: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 дошкольными образовательными организациями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общеобразовательными организациями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области физической культуры и массового спорта: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физкультурно – спортивными залами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области культуры:</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учреждениями культурно-клубного типа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области здравоохранения: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поликлиниками и станциями скорой помощи</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Создание новых рабочих мест</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 Территориальная доступность объектов социальной инфраструктуры сельского поселения.</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jc w:val="center"/>
        <w:rPr>
          <w:rFonts w:ascii="Tahoma" w:eastAsia="Times New Roman" w:hAnsi="Tahoma" w:cs="Tahoma"/>
          <w:color w:val="2C2C2C"/>
          <w:sz w:val="20"/>
          <w:szCs w:val="20"/>
          <w:lang w:eastAsia="ru-RU"/>
        </w:rPr>
      </w:pPr>
      <w:bookmarkStart w:id="0" w:name="_Toc496710889"/>
      <w:r w:rsidRPr="006A2B86">
        <w:rPr>
          <w:rFonts w:ascii="Tahoma" w:eastAsia="Times New Roman" w:hAnsi="Tahoma" w:cs="Tahoma"/>
          <w:color w:val="44A1C7"/>
          <w:sz w:val="20"/>
          <w:szCs w:val="20"/>
          <w:lang w:eastAsia="ru-RU"/>
        </w:rPr>
        <w:t>2. ОБЩИЕ ПОЛОЖЕНИЯ</w:t>
      </w:r>
      <w:bookmarkEnd w:id="0"/>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комплексного развития социальной инфраструктуры поселения - документ, устанавливающий перечень мероприятий по проектированию, строительству, реконструкции объектов социальной инфраструктуры местного значения поселения, который предусмотрен также государственными и муниципальными программами, стратегией социально</w:t>
      </w:r>
      <w:r w:rsidRPr="006A2B86">
        <w:rPr>
          <w:rFonts w:ascii="Tahoma" w:eastAsia="Times New Roman" w:hAnsi="Tahoma" w:cs="Tahoma"/>
          <w:color w:val="2C2C2C"/>
          <w:sz w:val="20"/>
          <w:szCs w:val="20"/>
          <w:lang w:eastAsia="ru-RU"/>
        </w:rPr>
        <w:softHyphen/>
        <w:t xml:space="preserve"> - 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комплексного развития социальной инфраструктуры поселения,разрабатывается и утверждается органами местного самоуправления поселения,на основании утвержденного генерального плана поселения, и должна обеспечивать сбалансированное, перспективное развитие социальной инфраструктуры поселения,в соответствии с потребностями в строительстве объектов социальной инфраструктуры местного значения.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программы должна обеспечивать сбалансированное, перспективное развитие социальной инфраструктуры поселения, в соответствии с потребностями в строительстве, реконструкции объектов социальной инфраструктуры местного значения.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Обеспечение надежного и устойчивого обслуживания жителей Оёкского муниципального образования (в дальнейшем - МО) социальными услугами, снижение износа объектов социальной инфраструктуры - одна из главных проблем, решение которой необходимо для повышения качества жизни жителей и обеспечения устойчивого развития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Решение проблемы носит комплексный характер, а реализация мероприятий по улучшению качества социальной инфраструктуры возможна только при взаимодействии органов власти всех уровней, а также концентрации финансовых, технических и научных ресурсов.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Система основных мероприятий Программы определяет приоритетные направления в сфере социального обслуживания на территории Поселения и предполагает реализацию следующих мероприятий: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Мероприятия по строительству объектов местного значения поселения в областях: образование, физическая культура и массовый спорт, культура;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мероприятий позволит достигнуть и сохранить обеспеченность объектами социальной инфраструктуры в соответствии с нормативными требованиями.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Мероприятия по строительству объектов местного значения поселения в области физической культуры и массового спорта.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мероприятий позволит задать темп устойчивого развития физической культуры и массового спорта, а также приобщить местное население к ведению здорового образа жизни и косвенно повысить демографический уровень за счет оздоровления населения.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 Мероприятия по научно-техническому сопровождению программы. Мероприятия по капитальному ремонту и ремонту будут определяться на основе результатов обследования объектов социальной инфраструктуры и уровня обеспеченности населения социальными услугами.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Корректировка Программы производится на основании предложений Правительства Иркутской области, администрации Оекского муниципального образования, Думы Оекского сельского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Администрация Оёкского муниципального образования ежегодно с учетом выделяемых финансовых средств на реализацию Программы готовит предложения по корректировке целевых показателей, затрат по мероприятиям Программы, механизма ее реализации, состава участников Программы и вносит необходимые изменения в Программу.</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комплексного развития социальной инфраструктуры Оёкского муниципального образования на 2018 - 2030 (далее по тексту - Программа) подготовлена на основании: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·Градостроительный кодекс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·Федеральный закон от 06.10.2003 № 131-ФЗ «Об общих принципах организации местного самоуправления 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·Генеральный план Оекского муниципального образования Иркутского района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рассчитана на долгосрочную перспективу сроком на 12 лет.</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Таким образом, Программа является инструментом реализации приоритетных направлений развития Оёкского муниципального образования на долгосрочную перспективу, ориентирована на устойчивое развитие Поселения и соответствует государственной политике реформирования социальной системы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jc w:val="center"/>
        <w:rPr>
          <w:rFonts w:ascii="Tahoma" w:eastAsia="Times New Roman" w:hAnsi="Tahoma" w:cs="Tahoma"/>
          <w:color w:val="2C2C2C"/>
          <w:sz w:val="20"/>
          <w:szCs w:val="20"/>
          <w:lang w:eastAsia="ru-RU"/>
        </w:rPr>
      </w:pPr>
      <w:bookmarkStart w:id="1" w:name="_Toc496710890"/>
      <w:r w:rsidRPr="006A2B86">
        <w:rPr>
          <w:rFonts w:ascii="Tahoma" w:eastAsia="Times New Roman" w:hAnsi="Tahoma" w:cs="Tahoma"/>
          <w:color w:val="44A1C7"/>
          <w:sz w:val="20"/>
          <w:szCs w:val="20"/>
          <w:lang w:eastAsia="ru-RU"/>
        </w:rPr>
        <w:t>3. ХАРАКТЕРИСТИКА СУЩЕСТВУЮЩЕГО СОСТОЯНИЯ СОЦИАЛЬНОЙ ИНФРАСТРУКТУРЫ</w:t>
      </w:r>
      <w:bookmarkEnd w:id="1"/>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2" w:name="_Toc496710891"/>
      <w:r w:rsidRPr="006A2B86">
        <w:rPr>
          <w:rFonts w:ascii="Tahoma" w:eastAsia="Times New Roman" w:hAnsi="Tahoma" w:cs="Tahoma"/>
          <w:b/>
          <w:bCs/>
          <w:color w:val="44A1C7"/>
          <w:sz w:val="20"/>
          <w:szCs w:val="20"/>
          <w:lang w:eastAsia="ru-RU"/>
        </w:rPr>
        <w:t>3.1 Описание социально – экономического состояния поселения</w:t>
      </w:r>
      <w:bookmarkEnd w:id="2"/>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Оёкское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Административным центром муниципального образования со статусом сельского населенного пункта является село Оёк. По данным администрации, по состоянию на 01.01.2017 г. общая численность населения муниципального образования составляет 7135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Расположено Оекское муниципальное образование в 38 км севернее от г. Иркутска и включает 9 населенных пунктов: с. Оек, д. Бутырки, д. Галки, д. Жердовка, д. Зыкова, д. Коты, д. Максимовщина, д. Мишонкова, д. Турская. Оекское муниципальное образование граничит со следующими муниципальными образованиями: с севера«Никольское», с юга – «Хомутовское», с запада «Ширяевское», с юго-востока – «Ревякинское», с северо-востока «Сосновоборское» (все Иркутский муниципальный район); с востока Эхирит-Булагатским районом Усть-Ордынского Бурятского автономного округа. Расположено недалеко от реки Куды. </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Территория Оекского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33 204,7 га.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xml:space="preserve">Территория Оекского муниципального образования в границах муниципального образования, установленных в соответствии с законом Иркутской области от 16.12.2004 г №94-оз «О статусе и </w:t>
      </w:r>
      <w:r w:rsidRPr="006A2B86">
        <w:rPr>
          <w:rFonts w:ascii="Tahoma" w:eastAsia="Times New Roman" w:hAnsi="Tahoma" w:cs="Tahoma"/>
          <w:color w:val="2C2C2C"/>
          <w:sz w:val="20"/>
          <w:szCs w:val="20"/>
          <w:lang w:eastAsia="ru-RU"/>
        </w:rPr>
        <w:lastRenderedPageBreak/>
        <w:t>границах муниципальных образований Иркутского района Иркутской области», составляет 33204,7 га – это 3 % от всей территории Иркутского района. В том числе селитебные территории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Климатические условия (зима холодная но не суровая, весна затяжная, лето, почти всегда жаркое и 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3" w:name="_Toc496710892"/>
      <w:r w:rsidRPr="006A2B86">
        <w:rPr>
          <w:rFonts w:ascii="Tahoma" w:eastAsia="Times New Roman" w:hAnsi="Tahoma" w:cs="Tahoma"/>
          <w:b/>
          <w:bCs/>
          <w:color w:val="44A1C7"/>
          <w:sz w:val="20"/>
          <w:szCs w:val="20"/>
          <w:lang w:eastAsia="ru-RU"/>
        </w:rPr>
        <w:t>3.2 Сведения о градостроительной деятельности</w:t>
      </w:r>
      <w:bookmarkEnd w:id="3"/>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 полномочиям органов местного самоуправления муниципальных районов в области градостроительной деятельности, согласно ч. 2 ст. 8 Градостроительного кодекса Российской Федерации, относятся: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подготовка и утверждение документов территориального планирования муниципальных районов;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утверждение местных нормативов градостроительного проектирования муниципальных районов;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утверждение правил землепользования и застройки соответствующих межселенных территорий;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утверждение подготовленной на основании документов территориального планирования муниципальных районов документации по планировке территории, за исключением случаев, предусмотренных настоящим Кодексом;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соответствующих межселенных территориях;</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ведение информационных систем обеспечения градостроительной деятельности, осуществляемой на территориях муниципальных районов.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Действуя в рамках полномочий, установленных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органы местного самоуправления муниципального района подготовили и утвердили муниципальные правовые акты в области градостроительных отношений.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 территории Оёкского муниципального образования утверждены градостроительные документы: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Генеральный план Оёкского муниципального образования Иркутского района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Правила землепользования и застройки Оёкского муниципального образования Иркутского района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4" w:name="_Toc496710893"/>
      <w:bookmarkEnd w:id="4"/>
      <w:r w:rsidRPr="006A2B86">
        <w:rPr>
          <w:rFonts w:ascii="Tahoma" w:eastAsia="Times New Roman" w:hAnsi="Tahoma" w:cs="Tahoma"/>
          <w:b/>
          <w:bCs/>
          <w:color w:val="2C2C2C"/>
          <w:sz w:val="20"/>
          <w:szCs w:val="20"/>
          <w:lang w:eastAsia="ru-RU"/>
        </w:rPr>
        <w:t>3.3 Технико – экономические параметры обеспеченности услугами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Уровень социально-экономического развития Оёкского муниципального образования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Одним из показателей экономического развития является численность населения. Изменение численности населения служит индикатором уровня жизни в муниципальном образовании, привлекательности территории для проживания, осуществления деятельности.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Численность населения Оёкского муниципального образования по данным администрации состоянию на 01.01.2017 года составила 7135 человек. Численность населения в разрезе населенных пунктов представлена в таблице.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i/>
          <w:iCs/>
          <w:color w:val="2C2C2C"/>
          <w:sz w:val="20"/>
          <w:szCs w:val="20"/>
          <w:lang w:eastAsia="ru-RU"/>
        </w:rPr>
        <w:t>Таблица 3.3.1 – Прогноз численности населения Оёкского муниципального образования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4"/>
        <w:gridCol w:w="2016"/>
        <w:gridCol w:w="2292"/>
        <w:gridCol w:w="1644"/>
        <w:gridCol w:w="1644"/>
      </w:tblGrid>
      <w:tr w:rsidR="006A2B86" w:rsidRPr="006A2B86" w:rsidTr="006A2B86">
        <w:trPr>
          <w:tblCellSpacing w:w="0" w:type="dxa"/>
        </w:trPr>
        <w:tc>
          <w:tcPr>
            <w:tcW w:w="68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w:t>
            </w:r>
          </w:p>
        </w:tc>
        <w:tc>
          <w:tcPr>
            <w:tcW w:w="201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Наименование населенного пункта</w:t>
            </w:r>
          </w:p>
        </w:tc>
        <w:tc>
          <w:tcPr>
            <w:tcW w:w="558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Население, количество человек</w:t>
            </w:r>
          </w:p>
        </w:tc>
      </w:tr>
      <w:tr w:rsidR="006A2B86" w:rsidRPr="006A2B86" w:rsidTr="006A2B8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2017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2022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2030 год</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Оёк</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4030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5648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9037</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Бутырки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662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928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1485</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661</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926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1482</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Жердовка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298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418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669</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Зыкова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408</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Коты</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633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887</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1419</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Максимовщина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299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419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670</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Мишонкова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228</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Турская</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268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376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602</w:t>
            </w:r>
          </w:p>
        </w:tc>
      </w:tr>
      <w:tr w:rsidR="006A2B86" w:rsidRPr="006A2B86" w:rsidTr="006A2B86">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Всего</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Оёкское МО</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7135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10000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16000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i/>
          <w:iCs/>
          <w:color w:val="2C2C2C"/>
          <w:sz w:val="20"/>
          <w:szCs w:val="20"/>
          <w:lang w:eastAsia="ru-RU"/>
        </w:rPr>
        <w:t>Таблица 3.3.2 – Динамика численности населения Оёкского муниципального образования</w:t>
      </w:r>
    </w:p>
    <w:tbl>
      <w:tblPr>
        <w:tblW w:w="7152" w:type="dxa"/>
        <w:tblCellSpacing w:w="0" w:type="dxa"/>
        <w:shd w:val="clear" w:color="auto" w:fill="FFFFFF"/>
        <w:tblCellMar>
          <w:left w:w="0" w:type="dxa"/>
          <w:right w:w="0" w:type="dxa"/>
        </w:tblCellMar>
        <w:tblLook w:val="04A0" w:firstRow="1" w:lastRow="0" w:firstColumn="1" w:lastColumn="0" w:noHBand="0" w:noVBand="1"/>
      </w:tblPr>
      <w:tblGrid>
        <w:gridCol w:w="4080"/>
        <w:gridCol w:w="1032"/>
        <w:gridCol w:w="1020"/>
        <w:gridCol w:w="1020"/>
      </w:tblGrid>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Год</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2013</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2014</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2015</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Численность постоянного населения на начало года, чел.</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6859</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7058</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7044</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Родилось чел.</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137</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118</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132</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Рождаемость(на 1000 жит.)</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19,97</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16,7</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19,02</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Умерло чел.</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72</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77</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75</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Смертность (на 1000 жит.)</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10,9</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10,7</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Естественный прирост (убыль) чел.</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+65</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+41</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+57</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Прибыло</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333</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131</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147</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Выбыло</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189</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186</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179</w:t>
            </w:r>
          </w:p>
        </w:tc>
      </w:tr>
      <w:tr w:rsidR="006A2B86" w:rsidRPr="006A2B86" w:rsidTr="006A2B86">
        <w:trPr>
          <w:tblCellSpacing w:w="0" w:type="dxa"/>
        </w:trPr>
        <w:tc>
          <w:tcPr>
            <w:tcW w:w="4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Прирост населения</w:t>
            </w:r>
          </w:p>
        </w:tc>
        <w:tc>
          <w:tcPr>
            <w:tcW w:w="1032"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209</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02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За период 2016-2018 года наблюдается естественный прирост, связанный с повышением рождаемости, рождаются дети, как в молодых семьях, так и в семьях, где уже имеются дети. Кроме этого, в рамках реализации Федерального закона от 24.07.2008 г. №161-ФЗ «О содействии развитию жилищного строительства» с 2014 года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Также в последнее время наблюдаются процессы субурбанизации, когда жители большого города перебираются в окрестные населённые пункты с целью постоянного проживания или для летнего пребывания. Учитывая проведенный анализ прогнозов демографического развития сельского поселения, наиболее вероятным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5" w:name="_Toc496710894"/>
      <w:bookmarkEnd w:id="5"/>
      <w:r w:rsidRPr="006A2B86">
        <w:rPr>
          <w:rFonts w:ascii="Tahoma" w:eastAsia="Times New Roman" w:hAnsi="Tahoma" w:cs="Tahoma"/>
          <w:b/>
          <w:bCs/>
          <w:color w:val="2C2C2C"/>
          <w:sz w:val="20"/>
          <w:szCs w:val="20"/>
          <w:lang w:eastAsia="ru-RU"/>
        </w:rPr>
        <w:t>3.3.1 Образование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Система образования в Оёкском муниципальном образовании представлена следующими типами, видами учреждений общего, дошкольного, дополнительного образования и включает 10 учреждений, из них: </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- 2 средние общеобразовательные школы (с. Оек и д. Бутырки);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- 3 малокомплектные школы (д. Турская, д. Галки,д. Коты);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- 3  дошкольных учреждения (с. Оек, д. Бутырки, а также в д. Максимовщина, на территории в/ч 51870);</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- 1  детская музыкальная школа;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- 1 профессиональное училище;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Оекском муниципальном образовании действуют две муниципальные средние общеобразовательные школы (с. Оёк и д. Бутырки) вместимостью 893 места, а так же три начальные общеобразовательные школы (д. Галки, д. Турская и д. Коты) вместимостью 61 место.</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Общая вместимость общеобразовательных школ поселения составляет 954 места при фактической наполняемости 805 мест, что составляет 84,4% проектной вместимости объектов.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поселении функционирует два детских дошкольных образовательных учреждения - в с. Оёк и д. Бутырки. Вместимость данных детских садов составляет 75 и 98 мест соответственно, фактическая наполняемость дошкольных учреждений – 130 детей в с. Оек и 120 детей в д. Бутырки.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ПУ-№60. Обучение в профессиональном училище осуществляется по следующим направлениям: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Тракторис-машинист сельскохозяйственного производства;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Мастер по обработке цифровой информации;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 Сварщик (электросварочные и газосварочные работы);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 Повар, кондитер.</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Учащимся в профессиональном училище ежемесячно выплачивается стипендия, обеспечено бесплатное питание, в случае необходимости предоставляется общежитие. Юношам на весь период обучения предоставляется отсрочка от армии. Дети-сироты и дети, оставшиеся без попечения родителей, зачисляются на полное государственное обеспечение.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6" w:name="_Toc496710895"/>
      <w:r w:rsidRPr="006A2B86">
        <w:rPr>
          <w:rFonts w:ascii="Tahoma" w:eastAsia="Times New Roman" w:hAnsi="Tahoma" w:cs="Tahoma"/>
          <w:b/>
          <w:bCs/>
          <w:color w:val="44A1C7"/>
          <w:sz w:val="20"/>
          <w:szCs w:val="20"/>
          <w:lang w:eastAsia="ru-RU"/>
        </w:rPr>
        <w:t>3.3.2 Здравоохранение</w:t>
      </w:r>
      <w:bookmarkEnd w:id="6"/>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Учреждения здравоохранения муниципального образования представлены МУЗ ЦРБ Иркутского района «Оёкская участковая больница» стационаром на 50 коек,детским отделением на 20 коек и поликлиникой на 60 посещений в смену в с. Оёк, а так же фельдшерско-акушерскими пунктами ЦРБ в д. Галки (10 посещений в смену), Жердовка (15 посещений в смену), Коты (15 посещений в смену) и Бутырки (15 посещений в смену). Общая вместимостью фельдшерско – акушерских пунктов поселения составляет 55 посещений в смену.</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д. Жердовка помимо ФАП работает отделение легочного туберкулеза №4 ГУЗ «Иркутский областной противотуберкулезный диспансер» вместимостью 50 койко-мест.</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Аптечная сеть поселения представлена аптечными пунктами в с. Оек (3 шт.) и д. Жердовка (1 шт.). В с. Оёк действует ветеринарный участок - ОГУ ИРСББЖ «Оёкский ветеринарный участок».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Оёкская участковая больница, а также ФАПы в д. Галки, Коты и Жердовка расположены в зданиях, которые требуют капитального ремонта, а также не соответствуют нормам СанПиН по занимаемой площади и требуют расширения.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7" w:name="_Toc496710896"/>
      <w:r w:rsidRPr="006A2B86">
        <w:rPr>
          <w:rFonts w:ascii="Tahoma" w:eastAsia="Times New Roman" w:hAnsi="Tahoma" w:cs="Tahoma"/>
          <w:b/>
          <w:bCs/>
          <w:color w:val="44A1C7"/>
          <w:sz w:val="20"/>
          <w:szCs w:val="20"/>
          <w:lang w:eastAsia="ru-RU"/>
        </w:rPr>
        <w:t>3.3.3 Физическая культура и массовый спорт</w:t>
      </w:r>
      <w:bookmarkEnd w:id="7"/>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Оёкском муниципальном образовании функционирует творческое объединение «Импульс», в которое входит 2 клубных формирования: «Волонтер» и «Я-лидер».</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Молодежь вовлекается в социально-экономическое и общественно-политическое развитие поселения. Проводится работа по духовно-нравственному, патриотическому и гражданскому воспитанию молодежи.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Важным остается направление по профилактике социально-негативных явлений в молодёжной среде.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Формирование в молодёжной среде уважительного отношения к традиционным семейным ценностям, поддержка молодой семьи осуществляется путем участия в местных и районных мероприятиях.</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Оекском МО уделяется особое внимание развитию физкультуры и спорта. На базе Социально-культурного спортивного комплекса Оекского муниципального образования работают следующие клубы по интересам: «Форвард» (футбол), «Олимп» (баскетбол), «Патриот» (волейбол), «Витязь» (гиревой спорт), «Атлет» (атлетизм), «Грация» (гимнастика).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 территории ОМО работает военно-спортивный клуб «Медведь», в котором проводятся занятия по армейскому рукопашному бою.</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поселении осуществляют деятельность 7 физкультурно-спортивных секций, в которых занимается 192 человек.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Организация и проведение физкультурно-оздоровительных и спортивно-массовых мероприятий с населением осуществляется на основании утвержденного календарного плана работы.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8" w:name="_Toc496710897"/>
      <w:bookmarkEnd w:id="8"/>
      <w:r w:rsidRPr="006A2B86">
        <w:rPr>
          <w:rFonts w:ascii="Tahoma" w:eastAsia="Times New Roman" w:hAnsi="Tahoma" w:cs="Tahoma"/>
          <w:b/>
          <w:bCs/>
          <w:color w:val="2C2C2C"/>
          <w:sz w:val="20"/>
          <w:szCs w:val="20"/>
          <w:lang w:eastAsia="ru-RU"/>
        </w:rPr>
        <w:t>3.3.4 Культура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Оекском муниципальном образовании функционирует Муниципальное учреждение «Социально-культурный спортивный комплекс» Оекского муниципального образования (далее - МУ СКСК), в его состав входят клубные формирования, библиотеки, музей, а также спортивные 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 базе МУ СКСК работает 36 клубных формирований: хореографические, вокальные, театральные, декоративно-прикладного творчества, спортивные. Свою работу осуществляют различные клубы по интересам. Количество самодеятельных коллективов – тринадцать, из них восемь для детей в возрасте до 14 лет, два для молодежи и три для жителей более старшего возраста.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Библиотечное обслуживание в поселении осуществляют четыре библиотеки: одна расположена в здании Дома культуры села Оек, другие в д. Бутырки и в д. Коты, а также Районная детская библиотека в селе Оек. Читателями библиотек в поселении является 2402 человека. Охват населения составляет 34%. Книжный фонд библиотек по состоянию на 01.01.2017 года составил – 30228 экземпляров.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Одно из основных направлений - организация социально-культурных мероприятий. Так в 2016 году проведено 482 мероприятия, на которых присутствовало 40158 человек.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Дополнительное музыкальное образование детей осуществляет музыкальная школа в с. Оек по следующим направлениям: фортепиано, баян, аккордеон, гармонь, а также гитара, домра и флейта. Всего дополнительное музыкальное образование получают 46 учащихся. Учебный процесс ведут 9 преподавателей.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9" w:name="_Toc496710898"/>
      <w:bookmarkEnd w:id="9"/>
      <w:r w:rsidRPr="006A2B86">
        <w:rPr>
          <w:rFonts w:ascii="Tahoma" w:eastAsia="Times New Roman" w:hAnsi="Tahoma" w:cs="Tahoma"/>
          <w:b/>
          <w:bCs/>
          <w:color w:val="2C2C2C"/>
          <w:sz w:val="20"/>
          <w:szCs w:val="20"/>
          <w:lang w:eastAsia="ru-RU"/>
        </w:rPr>
        <w:t>3.4 Прогнозируемый спрос на услуги объектов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соответствии со стратегией социального развития до 2022 года и на период до 2030 года, согласно Генеральному плану Оекского муниципального образования Иркутского района Иркутской области, долгосрочное развитие Оекского муниципального образования будет сопровождаться ростом численности населения. Рост численности ожидается: к 2022 году- до 10 тыс. человек, к 2030 - до 16 тыс. человек.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Согласно Генеральному плану, средняя плотность жилой застройки в границах проекта к расчетному сроку повышается в 1,8 раза (с 155,9 м2/га до 282,1 м2/га), при этом средняя плотность населения в границах жилых кварталов и микрорайонов повышается с 10,4 до 11,3 чел./га. На расчетный срок (2030 г.) жилищный фонд Оекского сельского поселения составит 500,0 тыс. м2 общей площади, средняя жилищная обеспеченность принимается в 25 м2 общей площади на одного жителя.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Генеральным планом предлагается значительное расширение участков под учреждения, предприятия обслуживания и физкультурно-спортивные сооружения. Их суммарная площадь увеличивается более чем в 3,4 раза, главным образом за счет формирования общественных центров, строительства больничного комплекса в с. Оек, а также строительства новых спортивных сооружений.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xml:space="preserve">Повышение средней плотности населения в жилой застройке, даже с учетом существенного расширения озелененных территорий, участков объектов культурно-бытового обслуживания и спортивных сооружений, ведет к повышению плотности населения в границах селитебной территории с 8,4 чел./га в 2011 г. до 9,9 чел./га к 2030 г. (в 1,2 раза). Площадь селитебной территории в расчете на одного жителя по проекту сокращается с 1 195,4 м2/чел. в настоящее </w:t>
      </w:r>
      <w:r w:rsidRPr="006A2B86">
        <w:rPr>
          <w:rFonts w:ascii="Tahoma" w:eastAsia="Times New Roman" w:hAnsi="Tahoma" w:cs="Tahoma"/>
          <w:color w:val="2C2C2C"/>
          <w:sz w:val="20"/>
          <w:szCs w:val="20"/>
          <w:lang w:eastAsia="ru-RU"/>
        </w:rPr>
        <w:lastRenderedPageBreak/>
        <w:t>времядо 1 009,5 м2/чел. к расчетному сроку генерального плана. Это указывает на существенное повышение эффективности использования территории при реализации проекта.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0" w:name="_Toc496710899"/>
      <w:r w:rsidRPr="006A2B86">
        <w:rPr>
          <w:rFonts w:ascii="Tahoma" w:eastAsia="Times New Roman" w:hAnsi="Tahoma" w:cs="Tahoma"/>
          <w:b/>
          <w:bCs/>
          <w:color w:val="44A1C7"/>
          <w:sz w:val="20"/>
          <w:szCs w:val="20"/>
          <w:lang w:eastAsia="ru-RU"/>
        </w:rPr>
        <w:t>3.5 Оценка нормативно – правовой базы, необходимой для функционирования и развития социальной инфраструктуры</w:t>
      </w:r>
      <w:bookmarkEnd w:id="10"/>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 Конституция Российской Федерации содержит иные важнейшие положения, составляющие основу регулирования правоотношений 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131 -ФЗ) разграничивают полномочия в области функционирования и развития социальной инфраструктуры между органами государственной власти и органами местного самоуправления.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xml:space="preserve">- 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w:t>
      </w:r>
      <w:r w:rsidRPr="006A2B86">
        <w:rPr>
          <w:rFonts w:ascii="Tahoma" w:eastAsia="Times New Roman" w:hAnsi="Tahoma" w:cs="Tahoma"/>
          <w:color w:val="2C2C2C"/>
          <w:sz w:val="20"/>
          <w:szCs w:val="20"/>
          <w:lang w:eastAsia="ru-RU"/>
        </w:rPr>
        <w:lastRenderedPageBreak/>
        <w:t>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w:t>
      </w:r>
      <w:r w:rsidRPr="006A2B86">
        <w:rPr>
          <w:rFonts w:ascii="Tahoma" w:eastAsia="Times New Roman" w:hAnsi="Tahoma" w:cs="Tahoma"/>
          <w:color w:val="2C2C2C"/>
          <w:sz w:val="20"/>
          <w:szCs w:val="20"/>
          <w:lang w:eastAsia="ru-RU"/>
        </w:rPr>
        <w:softHyphen/>
        <w:t>-оздоровительных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организация библиотечного обслуживания населения, комплектование и обеспечение сохранности библиотечных фондов библиотек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создание условий для организации досуга и обеспечения жителей поселения услугами организаций культуры;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131 -ФЗ к вопросам местного значения муниципального района, так же как и создание условий для оказания медицинской помощи населению.</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Федеральный закон от 04.12.2007 № 329-ФЗ «О физической культуре и спорте 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Федеральный закон от 21.11.2011 № 323-ФЗ «Об основах охраны здоровья граждан 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Федеральный закон от 29.12.2012 № 273-ФЗ «Об образовании 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Федеральный закон от 17.07.1999 № 178-ФЗ «О государственной социальной помощи»;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Закон Российской Федерации от 09.10.1992 № 3612-1 «Основы законодательства Российской Федерации о культуре».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форме капитальных вложений», Федеральный закон от 09.07.1999 № 160-ФЗ «Об иностранных инвестициях в Российской Федерации».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целях создания благоприятных условий для привлечения частных инвестиций и развития туризма в Иркутской области принят Закон Иркутской области от 7 марта 2012 года № 9-ОЗ (с изменениями на: 01.10.14) «Об областной государственной поддержке туризма и туристской деятельности в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Региональные нормативы градостроительного проектирования Иркутской области утверждены Постановлением Правительства Иркутской области от 30.12.2014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 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Постановлением Правительства Иркутской области от 02.11.2012 № 607-пп утверждена Схема территориального планирования Иркутской области,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социального обслуживания, планируемые для размещения на территории автономного округа.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xml:space="preserve">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w:t>
      </w:r>
      <w:r w:rsidRPr="006A2B86">
        <w:rPr>
          <w:rFonts w:ascii="Tahoma" w:eastAsia="Times New Roman" w:hAnsi="Tahoma" w:cs="Tahoma"/>
          <w:color w:val="2C2C2C"/>
          <w:sz w:val="20"/>
          <w:szCs w:val="20"/>
          <w:lang w:eastAsia="ru-RU"/>
        </w:rPr>
        <w:lastRenderedPageBreak/>
        <w:t>должны также отражать решения по размещению объектов социальной инфраструктуры, принятые в Схеме территориального планирования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4. МЕРОПРИЯТИЯ ПО РАЗВИТИЮ СЕТИ ОБЪЕКТОВ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ч.6 ст.18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части планируемых к строительству объектов местного значения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4.1)</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i/>
          <w:iCs/>
          <w:color w:val="2C2C2C"/>
          <w:sz w:val="20"/>
          <w:szCs w:val="20"/>
          <w:lang w:eastAsia="ru-RU"/>
        </w:rPr>
        <w:t>Таблица 4.1 - 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tbl>
      <w:tblPr>
        <w:tblW w:w="7692" w:type="dxa"/>
        <w:tblCellSpacing w:w="0" w:type="dxa"/>
        <w:shd w:val="clear" w:color="auto" w:fill="FFFFFF"/>
        <w:tblCellMar>
          <w:left w:w="0" w:type="dxa"/>
          <w:right w:w="0" w:type="dxa"/>
        </w:tblCellMar>
        <w:tblLook w:val="04A0" w:firstRow="1" w:lastRow="0" w:firstColumn="1" w:lastColumn="0" w:noHBand="0" w:noVBand="1"/>
      </w:tblPr>
      <w:tblGrid>
        <w:gridCol w:w="2496"/>
        <w:gridCol w:w="1980"/>
        <w:gridCol w:w="1776"/>
        <w:gridCol w:w="1440"/>
      </w:tblGrid>
      <w:tr w:rsidR="006A2B86" w:rsidRPr="006A2B86" w:rsidTr="006A2B86">
        <w:trPr>
          <w:tblCellSpacing w:w="0" w:type="dxa"/>
        </w:trPr>
        <w:tc>
          <w:tcPr>
            <w:tcW w:w="2496" w:type="dxa"/>
            <w:vMerge w:val="restart"/>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Область</w:t>
            </w:r>
          </w:p>
        </w:tc>
        <w:tc>
          <w:tcPr>
            <w:tcW w:w="1980" w:type="dxa"/>
            <w:vMerge w:val="restart"/>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Орган исполнительной власти субъекта РФ</w:t>
            </w:r>
          </w:p>
        </w:tc>
        <w:tc>
          <w:tcPr>
            <w:tcW w:w="3216" w:type="dxa"/>
            <w:gridSpan w:val="2"/>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Муниципальное образование</w:t>
            </w:r>
          </w:p>
        </w:tc>
      </w:tr>
      <w:tr w:rsidR="006A2B86" w:rsidRPr="006A2B86" w:rsidTr="006A2B86">
        <w:trPr>
          <w:tblCellSpacing w:w="0" w:type="dxa"/>
        </w:trPr>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муниципальный</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район</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сельское</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поселение</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Образование</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Культура и искусство</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Физическая культура и спорт</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Здравоохранение</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Социальное обслуживание</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24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Молодежная политика</w:t>
            </w:r>
          </w:p>
        </w:tc>
        <w:tc>
          <w:tcPr>
            <w:tcW w:w="198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776"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 массовый спорт, культура).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 xml:space="preserve">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w:t>
      </w:r>
      <w:r w:rsidRPr="006A2B86">
        <w:rPr>
          <w:rFonts w:ascii="Tahoma" w:eastAsia="Times New Roman" w:hAnsi="Tahoma" w:cs="Tahoma"/>
          <w:color w:val="2C2C2C"/>
          <w:sz w:val="20"/>
          <w:szCs w:val="20"/>
          <w:lang w:eastAsia="ru-RU"/>
        </w:rPr>
        <w:lastRenderedPageBreak/>
        <w:t>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Расчет объектов социальной инфраструктуры Оёкского муниципального образования Иркутской области на расчетный срок представлен в таблице 4.2 .В таблицах 4.3, 4.4, 4.5, 4.6, 4.7, 4.8, 4.9, 4.10, 4.11 представлены расчеты объектов социальной инфраструктуры по деревням.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4.2 Расчет объектов культурно-бытового обслуживания Оекского муниципального образования на расчетный срок.</w:t>
      </w:r>
    </w:p>
    <w:tbl>
      <w:tblPr>
        <w:tblW w:w="1180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55"/>
        <w:gridCol w:w="1230"/>
        <w:gridCol w:w="1060"/>
        <w:gridCol w:w="1133"/>
        <w:gridCol w:w="1651"/>
        <w:gridCol w:w="1791"/>
        <w:gridCol w:w="1490"/>
        <w:gridCol w:w="1182"/>
        <w:gridCol w:w="558"/>
        <w:gridCol w:w="249"/>
        <w:gridCol w:w="358"/>
        <w:gridCol w:w="249"/>
        <w:gridCol w:w="358"/>
        <w:gridCol w:w="627"/>
      </w:tblGrid>
      <w:tr w:rsidR="006A2B86" w:rsidRPr="006A2B86" w:rsidTr="006A2B86">
        <w:trPr>
          <w:gridAfter w:val="7"/>
          <w:wAfter w:w="11808" w:type="dxa"/>
          <w:trHeight w:val="337"/>
          <w:tblCellSpacing w:w="0" w:type="dxa"/>
        </w:trPr>
        <w:tc>
          <w:tcPr>
            <w:tcW w:w="301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Объекты</w:t>
            </w:r>
          </w:p>
        </w:tc>
        <w:tc>
          <w:tcPr>
            <w:tcW w:w="116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Единица измерения</w:t>
            </w:r>
          </w:p>
        </w:tc>
        <w:tc>
          <w:tcPr>
            <w:tcW w:w="115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Норматив на 1000 жителей</w:t>
            </w:r>
          </w:p>
        </w:tc>
        <w:tc>
          <w:tcPr>
            <w:tcW w:w="140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Требуется на население</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16,0 тыс. чел.</w:t>
            </w:r>
          </w:p>
        </w:tc>
        <w:tc>
          <w:tcPr>
            <w:tcW w:w="147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Существующие сохраняемые объекты</w:t>
            </w:r>
          </w:p>
        </w:tc>
        <w:tc>
          <w:tcPr>
            <w:tcW w:w="141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Дополнительная потребность</w:t>
            </w:r>
          </w:p>
        </w:tc>
        <w:tc>
          <w:tcPr>
            <w:tcW w:w="218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Предложения по размещению</w:t>
            </w:r>
          </w:p>
        </w:tc>
      </w:tr>
      <w:tr w:rsidR="006A2B86" w:rsidRPr="006A2B86" w:rsidTr="006A2B8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Детские дошкольные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896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75</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821</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2х150, 1х125, 1х120, 1х75, 5х50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2 240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929</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1 311</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1х500, 1х400, 1х180, 1х150, 1х120</w:t>
            </w: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Внешкольные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174</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2х100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Стационары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койка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13,47</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95</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1х600 2)</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Поликлиники, 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290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185</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1х100, 1х50, 1х45</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Станция скорой медицинской помощи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спец. автомобилей</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10 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 2)</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6,2 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1 120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400</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720</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 410, 1х380, 1х330, 1х200, 1х150, 2х120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20,6</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59,4</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1х20, 1х15, 1х11, 1х6, 3х4</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6 000 1)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2 844,3</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3 155,7</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4х200, 6х150, 2х105, 9х100, 5х95, 3х80, 5х50, 4х70, 1х45</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650</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2х20, 1х28, 3х30, 4х26, 1х32, 5х50, 2х58</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 5х3, 1х4, 2х5, 1х8</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Прачечные</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кг белья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2х480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Химчистки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кг вещей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2х30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банков</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операцион.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1-2</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8-16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7-15</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3х2</w:t>
            </w: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11,2-14,4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8,5-11,7</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1х2,5; 3х2,0; 1х0,9; 2х0,6; 3х0,5;</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960-1 280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650</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310-630</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1х170, 3х150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Плавательные бассейны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зеркала воды</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320-400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320-400</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1х400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Гостиницы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w:t>
            </w:r>
          </w:p>
        </w:tc>
        <w:tc>
          <w:tcPr>
            <w:tcW w:w="21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1х100</w:t>
            </w:r>
          </w:p>
        </w:tc>
        <w:tc>
          <w:tcPr>
            <w:tcW w:w="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c>
          <w:tcPr>
            <w:tcW w:w="0" w:type="auto"/>
            <w:shd w:val="clear" w:color="auto" w:fill="FFFFFF"/>
            <w:vAlign w:val="center"/>
            <w:hideMark/>
          </w:tcPr>
          <w:p w:rsidR="006A2B86" w:rsidRPr="006A2B86" w:rsidRDefault="006A2B86" w:rsidP="006A2B86">
            <w:pPr>
              <w:spacing w:line="240" w:lineRule="auto"/>
              <w:ind w:firstLine="0"/>
              <w:rPr>
                <w:rFonts w:eastAsia="Times New Roman" w:cs="Times New Roman"/>
                <w:sz w:val="20"/>
                <w:szCs w:val="20"/>
                <w:lang w:eastAsia="ru-RU"/>
              </w:rPr>
            </w:pP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полную численность населения муниципального образования с учетом временного (20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в соответствии со Схемой территориального планирования Иркутского муниципального района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4.3 Размещение объектов культурно-бытового обслуживания с. Оек на расчетный срок</w:t>
      </w:r>
    </w:p>
    <w:tbl>
      <w:tblPr>
        <w:tblW w:w="1130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84"/>
        <w:gridCol w:w="1230"/>
        <w:gridCol w:w="1117"/>
        <w:gridCol w:w="1341"/>
        <w:gridCol w:w="1651"/>
        <w:gridCol w:w="1791"/>
        <w:gridCol w:w="149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Объекты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Требуется на постоянное население</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7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Дополнительная потребность</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375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938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618</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Внешкольные учреждения</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224 1)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174</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Стационары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койка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13,47</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215 1)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145</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1х600 4)</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Поликлиники, амбулатории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Станция скорой медицинской помощи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спец. автомобилей</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10 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 4)</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6,2 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670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1х380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20,6</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12,9</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2 430 3)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1 094,0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1 336</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4х200, 3х150, 1х100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324 3)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174</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3х50, 1х30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Предприятия непосредственного бытового обслуживания</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Прачечные</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кг белья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2х480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Химчистки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кг вещей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2х30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банков</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операцион.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1-2</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4,7-6,0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2,0-3,3</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 1х2,5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402-536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650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Плавательные бассейны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зеркала воды</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320-400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320-400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Гостиницы</w:t>
            </w:r>
          </w:p>
        </w:tc>
        <w:tc>
          <w:tcPr>
            <w:tcW w:w="1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1х100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все постоянное население муниципального образования (16,0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 в расчете на полную численность населения муниципального образования с учетом временного (20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 в расчете на полную численность населения населенного пункта с учетом временного (8,1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 в соответствии со Схемой территориального планирования Иркутского муниципального района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4.4 Размещение объектов первичногокультурно-бытового обслуживания д. Зыкова на расчетный срок</w:t>
      </w:r>
    </w:p>
    <w:tbl>
      <w:tblPr>
        <w:tblW w:w="111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15"/>
        <w:gridCol w:w="1164"/>
        <w:gridCol w:w="1109"/>
        <w:gridCol w:w="1328"/>
        <w:gridCol w:w="1651"/>
        <w:gridCol w:w="1791"/>
        <w:gridCol w:w="149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Требуется на постоянное население</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0,7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Дополнительная потребность</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b/>
                <w:bCs/>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98</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210</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3х70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1х28</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0,5-0,6</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jc w:val="center"/>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4.5 Размещение объектов первичногокультурно-бытового обслуживания д. Турская на расчетный срок</w:t>
      </w:r>
    </w:p>
    <w:tbl>
      <w:tblPr>
        <w:tblW w:w="111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2"/>
        <w:gridCol w:w="1164"/>
        <w:gridCol w:w="1152"/>
        <w:gridCol w:w="1404"/>
        <w:gridCol w:w="1476"/>
        <w:gridCol w:w="1584"/>
        <w:gridCol w:w="132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0,8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87</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 в составе клуба</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269,5</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2х100, 1х70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0,5-0,7</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0,5-0,7</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1х0,7</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48-64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48-64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полную численность населения населенного пункта с учетом временного (1,0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4.6 Размещение объектов культурно-бытового обслуживания д. Бутырки на расчетный срок</w:t>
      </w:r>
    </w:p>
    <w:tbl>
      <w:tblPr>
        <w:tblW w:w="112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88"/>
        <w:gridCol w:w="1162"/>
        <w:gridCol w:w="1146"/>
        <w:gridCol w:w="1395"/>
        <w:gridCol w:w="1475"/>
        <w:gridCol w:w="1583"/>
        <w:gridCol w:w="1483"/>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123</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1х125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Поликлиники, 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25</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расширение амбулатории до 60 посещений в смену</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расширение существующего</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1х330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1х11 в составе клуба</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960 1)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921</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3х150, 5х95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1281)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128</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2х50, 1х30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 1х4</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банков</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операцион.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1-2</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1,5-2,0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1,5-2,0</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132-176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132-176</w:t>
            </w:r>
          </w:p>
        </w:tc>
        <w:tc>
          <w:tcPr>
            <w:tcW w:w="14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1х170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полную численность населения населенного пункта с учетом временного (3,2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4.7 Размещение объектов первичного культурно-бытового обслуживания д. Коты на расчетный срок</w:t>
      </w:r>
    </w:p>
    <w:tbl>
      <w:tblPr>
        <w:tblW w:w="114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84"/>
        <w:gridCol w:w="1188"/>
        <w:gridCol w:w="1176"/>
        <w:gridCol w:w="1428"/>
        <w:gridCol w:w="1512"/>
        <w:gridCol w:w="1620"/>
        <w:gridCol w:w="1404"/>
      </w:tblGrid>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0,8 тыс. чел.</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Дошкольные образовательные учреждения</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101</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д. Бутырки</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1х120</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 в составе клуба</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390 1)</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103,5</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286,5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3х80, 1х50</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521)</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52</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2х26</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0,5-0,7</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0,5-0,7</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1х0,6</w:t>
            </w:r>
          </w:p>
        </w:tc>
      </w:tr>
      <w:tr w:rsidR="006A2B86" w:rsidRPr="006A2B86" w:rsidTr="006A2B86">
        <w:trPr>
          <w:tblCellSpacing w:w="0" w:type="dxa"/>
        </w:trPr>
        <w:tc>
          <w:tcPr>
            <w:tcW w:w="30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2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Бутырки</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полную численность населения населенного пункта с учетом временного (1,3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4.8 Размещение объектов первичногокультурно-бытового обслуживания д. Максимовщина на расчетный срок</w:t>
      </w:r>
    </w:p>
    <w:tbl>
      <w:tblPr>
        <w:tblW w:w="1129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2"/>
        <w:gridCol w:w="1164"/>
        <w:gridCol w:w="1152"/>
        <w:gridCol w:w="1404"/>
        <w:gridCol w:w="1476"/>
        <w:gridCol w:w="1584"/>
        <w:gridCol w:w="150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73</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1х75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1х180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23</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д. Бутырки</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195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195</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1х6 в составе клуба</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53,3</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336,7</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3х100, 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2х26</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0,9-1,2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0,9-1,2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1х0,9</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78-104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78-104</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д. Бутырки</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4.9 Размещение объектов культурно-бытового обслуживания д. Галки на расчетный срок</w:t>
      </w:r>
    </w:p>
    <w:tbl>
      <w:tblPr>
        <w:tblW w:w="1129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2"/>
        <w:gridCol w:w="1164"/>
        <w:gridCol w:w="1152"/>
        <w:gridCol w:w="1404"/>
        <w:gridCol w:w="1476"/>
        <w:gridCol w:w="1584"/>
        <w:gridCol w:w="150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280</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1х400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Поликлиники, 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36</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1х410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 в составе клуба</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870 1)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375.0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495</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3х100, 3х50, 1х45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1161)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116</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2х58</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1х8</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банков</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операцион.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1-2</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1,4-1,8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1,4-1,8</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залы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площади пола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60-80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120-160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120-160</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1х150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в расчете на полную численность населения населенного пункта с учетом временного (2,9 тыс. чел.)</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4.10 Размещение объектов первичногокультурно-бытового обслуживания д. Мишонкова на расчетный срок</w:t>
      </w:r>
    </w:p>
    <w:tbl>
      <w:tblPr>
        <w:tblW w:w="111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2"/>
        <w:gridCol w:w="1164"/>
        <w:gridCol w:w="1152"/>
        <w:gridCol w:w="1404"/>
        <w:gridCol w:w="1476"/>
        <w:gridCol w:w="1584"/>
        <w:gridCol w:w="1356"/>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bookmarkStart w:id="11" w:name="_Hlk290976702"/>
            <w:r w:rsidRPr="006A2B86">
              <w:rPr>
                <w:rFonts w:ascii="Tahoma" w:eastAsia="Times New Roman" w:hAnsi="Tahoma" w:cs="Tahoma"/>
                <w:color w:val="44A1C7"/>
                <w:sz w:val="20"/>
                <w:szCs w:val="20"/>
                <w:lang w:eastAsia="ru-RU"/>
              </w:rPr>
              <w:t>Объекты</w:t>
            </w:r>
            <w:bookmarkEnd w:id="11"/>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39</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98</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105</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3,5</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210</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2х105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28</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0,5-0,6</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0,5-0,6</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1х0,5</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 Галки</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4.11 Размещение объектов первичногокультурно-бытового обслуживания д. Жердовка на расчетный срок</w:t>
      </w:r>
    </w:p>
    <w:tbl>
      <w:tblPr>
        <w:tblW w:w="1117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2"/>
        <w:gridCol w:w="1164"/>
        <w:gridCol w:w="1152"/>
        <w:gridCol w:w="1404"/>
        <w:gridCol w:w="1476"/>
        <w:gridCol w:w="1584"/>
        <w:gridCol w:w="1380"/>
      </w:tblGrid>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 измерения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Норматив на 1000 жителей</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Требуется на постоянное население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0,8 тыс. чел.</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Существующие сохраняемые объекты</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Дополнительная потребность</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Предложения по размещению</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 учреждения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56</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1х50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школы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112</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Амбулатории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посещение в смену</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18,15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ФАП</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Аптеки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пос.</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Клубы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зрит.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120</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1х120</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тыс.ед. хранения</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1х4 в составе клуба</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Магазины</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м2 торг. площади</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300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240</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1 149,0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общественного питания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32</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1х32</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Предприятия непосредственного бытового обслуживания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рабочее место</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1х3</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сооружения</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га</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0,7-0,9</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0,6-0,7</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0,6-0,7</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1х0,6</w:t>
            </w:r>
          </w:p>
        </w:tc>
      </w:tr>
      <w:tr w:rsidR="006A2B86" w:rsidRPr="006A2B86" w:rsidTr="006A2B86">
        <w:trPr>
          <w:tblCellSpacing w:w="0" w:type="dxa"/>
        </w:trPr>
        <w:tc>
          <w:tcPr>
            <w:tcW w:w="30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Отделения связи</w:t>
            </w:r>
          </w:p>
        </w:tc>
        <w:tc>
          <w:tcPr>
            <w:tcW w:w="116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w:t>
            </w:r>
          </w:p>
        </w:tc>
        <w:tc>
          <w:tcPr>
            <w:tcW w:w="11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 на 2-6</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тыс. чел.</w:t>
            </w:r>
          </w:p>
        </w:tc>
        <w:tc>
          <w:tcPr>
            <w:tcW w:w="14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3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 Оек</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2" w:name="_Toc496710900"/>
      <w:r w:rsidRPr="006A2B86">
        <w:rPr>
          <w:rFonts w:ascii="Tahoma" w:eastAsia="Times New Roman" w:hAnsi="Tahoma" w:cs="Tahoma"/>
          <w:color w:val="44A1C7"/>
          <w:sz w:val="20"/>
          <w:szCs w:val="20"/>
          <w:lang w:eastAsia="ru-RU"/>
        </w:rPr>
        <w:t>ПРЕДЛОЖЕНИЯ ПО ПОВЫШЕНИЮ ДОСТУПНОСТИ СРЕДЫ ДЛЯ МАЛОМОБИЛЬНЫХ ГРУПП НАСЕЛЕНИЯ</w:t>
      </w:r>
      <w:bookmarkEnd w:id="12"/>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При проектировании, строительстве и реконструкции объектов социальной инфраструктуры необходимо предусматривать универсальную безбарьерную среду для беспрепятственного доступа к объектам и услугам всех категорий граждан, в том числе инвалидов и граждан других маломобильных групп населения (к которым могут быть отнесены люди преклонного возраста, с временными или длительными нарушениями здоровья и функций движения, беременные женщины, люди с детскими колясками и другие).</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Для инвалидов и граждан других маломобильных групп населения требования к проектированию, строительству и реконструкции объектов социальной инфраструктуры определяются следующими нормативными документами: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 59.13330.2012 «Свод правил. Доступность зданий и сооружений для маломобильных групп населения. Актуализированная редакция СНиП 35-01.2001»;</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 35-101-2001 «Проектирование зданий и сооружений с учетом доступности для маломобильных групп населения. Общие положения»;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 35-102-2001 «Жилая среда с планировочными элементами, доступными инвалидам»;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СП 31-102-99 «Требования доступности общественных зданий и сооружений для инвалидов и других маломобильных посетителей»;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 35-103-2001 «Общественные здания и сооружения, доступные маломобильным посетителям»;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РДС 35-201-99 «Система нормативных документов в строительстве. Руководящий документ системы. Порядок реализации требований доступности для инвалидов к объектам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Здания и сооружения объектов социальной инфраструктуры рекомендуется проектировать с учетом критериев доступности, безопасности, удобства и информативности: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Возможности беспрепятственно достигнуть места обслуживания и воспользоваться предоставленным обслуживанием;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Беспрепятственного движения по коммуникационным путям, помещениям и пространствам;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Возможности своевременно воспользоваться местами отдыха, ожидания и сопутствующего обслуживания;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Возможность избежать травм, ранений, увечий, излишней усталости из- за свойств архитектурной среды зданий;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Возможность своевременного опознавания и реагирования на места и зоны риска;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Предупреждение потребителей о зонах, представляющих потенциальную опасность;</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Своевременное распознавание ориентиров в архитектурной среде общественных зданий;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Точную идентификацию своего места нахождения и мест, являющихся целью посещения;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Использование средств информирования, соответствующих особенностям различных групп потребителей;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Возможность эффективной ориентации посетителя, как в светлое, так и в темное время суток;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Сокращение времени и усилий на получение необходимой информации;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Возможность иметь непрерывную информационную поддержку на всем пути следования по зданию.</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3" w:name="_Toc496710901"/>
      <w:r w:rsidRPr="006A2B86">
        <w:rPr>
          <w:rFonts w:ascii="Tahoma" w:eastAsia="Times New Roman" w:hAnsi="Tahoma" w:cs="Tahoma"/>
          <w:color w:val="44A1C7"/>
          <w:sz w:val="20"/>
          <w:szCs w:val="20"/>
          <w:lang w:eastAsia="ru-RU"/>
        </w:rPr>
        <w:t>6. СТОИМОСТЬ РЕАЛИЗАЦИИ МЕРОПРИЯТИЙ И ИСТОЧНИКИ ФИНАНСИРОВАНИЯ ПО РАЗВИТИЮ СЕТИ ОБЪЕКТОВ СОЦИАЛЬНОЙ ИНФРАСТРУКТУРЫ</w:t>
      </w:r>
      <w:bookmarkEnd w:id="13"/>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Оценка объемов и источников финансирования мероприятий по проектированию, строительству, реконструкции объектов социальной инфраструктуры сельского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Методика определения стоимости реализации мероприятий по проектированию, строительству и реконструкции объектов социальной инфраструктуры предполагает несколько вариантов: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расчет по сборнику Государственные сметные нормативы. НЦС 81-02-2014. Укрупненные нормативы цены строительства. НЦС-2014;</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определение в соответствии с данными программ социально-экономического развития регионального и/или местного уровней;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определение на основе объектов-аналогов из сети Интернет.</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Для мероприятий, предусмотренных программами социально-экономического развития регионального и/или местного уровня, стоимость их реализации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Определение стоимости реализации мероприятий на основе объектов- 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ОёкскогоМО.</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Кроме того, были использованы ориентировочные цены, указанные 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Письме Федерального агентства по строительству и жилищно -</w:t>
      </w:r>
      <w:r w:rsidRPr="006A2B86">
        <w:rPr>
          <w:rFonts w:ascii="Tahoma" w:eastAsia="Times New Roman" w:hAnsi="Tahoma" w:cs="Tahoma"/>
          <w:color w:val="2C2C2C"/>
          <w:sz w:val="20"/>
          <w:szCs w:val="20"/>
          <w:lang w:eastAsia="ru-RU"/>
        </w:rPr>
        <w:softHyphen/>
        <w:t>коммунальному хозяйству от 16.04.2013 №3145-БМ/12/П, с учетом среднего коэффициента инфляции 7%.</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Приложениях 3,4 к приказу Министерства строительства и жилищно- коммунального хозяйства РФ от 28 августа 2014г. №506/пр.</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54"/>
        <w:gridCol w:w="587"/>
        <w:gridCol w:w="740"/>
        <w:gridCol w:w="761"/>
        <w:gridCol w:w="1179"/>
        <w:gridCol w:w="1016"/>
        <w:gridCol w:w="1518"/>
      </w:tblGrid>
      <w:tr w:rsidR="006A2B86" w:rsidRPr="006A2B86" w:rsidTr="006A2B86">
        <w:trPr>
          <w:tblCellSpacing w:w="0" w:type="dxa"/>
        </w:trPr>
        <w:tc>
          <w:tcPr>
            <w:tcW w:w="5352"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Наименование мероприятия, индикатор реализации</w:t>
            </w:r>
          </w:p>
        </w:tc>
        <w:tc>
          <w:tcPr>
            <w:tcW w:w="5208" w:type="dxa"/>
            <w:gridSpan w:val="5"/>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2018-2022 гг</w:t>
            </w:r>
          </w:p>
        </w:tc>
        <w:tc>
          <w:tcPr>
            <w:tcW w:w="2160"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Расчетный срок, 2030г</w:t>
            </w:r>
          </w:p>
        </w:tc>
      </w:tr>
      <w:tr w:rsidR="006A2B86" w:rsidRPr="006A2B86" w:rsidTr="006A2B86">
        <w:trPr>
          <w:tblCellSpacing w:w="0" w:type="dxa"/>
        </w:trPr>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2018 г.</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2019 г.</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2020 г.</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2021 г.</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2022 г.</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12720" w:type="dxa"/>
            <w:gridSpan w:val="7"/>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Образование</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двух детских садов, вместимостью по 150 человек каждый (2х 150)</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380000,0</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дополнительного здания общеобразовательной школы с.Оек на 500 мест</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1000000,0</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общеобразовательной школы д.Галки на 400 мест</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1000000,0</w:t>
            </w:r>
          </w:p>
        </w:tc>
      </w:tr>
      <w:tr w:rsidR="006A2B86" w:rsidRPr="006A2B86" w:rsidTr="006A2B86">
        <w:trPr>
          <w:tblCellSpacing w:w="0" w:type="dxa"/>
        </w:trPr>
        <w:tc>
          <w:tcPr>
            <w:tcW w:w="12720" w:type="dxa"/>
            <w:gridSpan w:val="7"/>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Здравоохранение</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поликлиники (амбулатории) на 100 посещений в сутки, в т.ч. станция скорой медицинской помощи</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275017,0</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ФАПовв д.Галки, д.Жердовка, д.Зыкова, д.Коты, д.Бутырки, д.Максимовщина</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42000,0</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12720" w:type="dxa"/>
            <w:gridSpan w:val="7"/>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Спортивные объекты</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спортивного зала на 400 м2</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22700,0</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Территория открытых плоскостных спортивных сооружений</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5000,0</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5000,0</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12720" w:type="dxa"/>
            <w:gridSpan w:val="7"/>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Культура</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Строительство культурно-досугового центра общей вместимостью на 330 мест, в т.ч. Библиотека на 20 мест-</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680000,0</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Итого, по срокам реализации</w:t>
            </w: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76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42000,0</w:t>
            </w:r>
          </w:p>
        </w:tc>
        <w:tc>
          <w:tcPr>
            <w:tcW w:w="9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5000,0</w:t>
            </w:r>
          </w:p>
        </w:tc>
        <w:tc>
          <w:tcPr>
            <w:tcW w:w="147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1000000,0</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73000,0</w:t>
            </w:r>
          </w:p>
        </w:tc>
        <w:tc>
          <w:tcPr>
            <w:tcW w:w="216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1677717,0</w:t>
            </w:r>
          </w:p>
        </w:tc>
      </w:tr>
      <w:tr w:rsidR="006A2B86" w:rsidRPr="006A2B86" w:rsidTr="006A2B86">
        <w:trPr>
          <w:tblCellSpacing w:w="0" w:type="dxa"/>
        </w:trPr>
        <w:tc>
          <w:tcPr>
            <w:tcW w:w="535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Итого по программе</w:t>
            </w:r>
          </w:p>
        </w:tc>
        <w:tc>
          <w:tcPr>
            <w:tcW w:w="7380" w:type="dxa"/>
            <w:gridSpan w:val="6"/>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2797717,0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6.1 - Затраты на реализацию мероприятий по проектированию, строительству, реконструкции объектов социальной инфраструктуры, тыс. руб</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4" w:name="_Toc496710902"/>
      <w:r w:rsidRPr="006A2B86">
        <w:rPr>
          <w:rFonts w:ascii="Tahoma" w:eastAsia="Times New Roman" w:hAnsi="Tahoma" w:cs="Tahoma"/>
          <w:color w:val="44A1C7"/>
          <w:sz w:val="20"/>
          <w:szCs w:val="20"/>
          <w:lang w:eastAsia="ru-RU"/>
        </w:rPr>
        <w:t>7. ЦЕЛЕВЫЕ ИНДИКАТОРЫ ПРОГРАММЫ</w:t>
      </w:r>
      <w:bookmarkEnd w:id="14"/>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Основными факторами, определяющими направления разработки Программы комплексного развития системы социальной инфраструктуры Оёкского муниципального образования на 2018-2030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Программы должна создать предпосылки для устойчивого развития Оёкскогомуниципального образования.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Основными целевыми индикаторами реализации мероприятий программы комплексного развития социальной инфраструктуры поселения являются: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-рост ожидаемой продолжительности жизни населения Оёкского муниципального образования;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показателя рождаемости;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-сокращение уровня безработицы;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доли детей в возрасте от 3 до 7 лет, охваченных дошкольным образованием;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доли детей охваченных школьным образованием;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уровня обеспеченности населения объектами здравоохранения; -увеличение доли населения обеспеченной объектами культуры в соответствии с нормативными значениями;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доли населения обеспеченной спортивными объектами в соответствии с нормативными значениями;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количества населения, систематически занимающегося физической культурой и спортом.</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Оёкскогомуниципального образования на расчетный срок.</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Целевые индикаторы и показатели программы представлены в таблице7.1.</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7.1 - Целевые индикаторы Программы</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
        <w:gridCol w:w="2448"/>
        <w:gridCol w:w="1248"/>
        <w:gridCol w:w="684"/>
        <w:gridCol w:w="684"/>
        <w:gridCol w:w="684"/>
        <w:gridCol w:w="696"/>
        <w:gridCol w:w="1404"/>
      </w:tblGrid>
      <w:tr w:rsidR="006A2B86" w:rsidRPr="006A2B86" w:rsidTr="006A2B86">
        <w:trPr>
          <w:tblCellSpacing w:w="0" w:type="dxa"/>
        </w:trPr>
        <w:tc>
          <w:tcPr>
            <w:tcW w:w="480"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п/п</w:t>
            </w:r>
          </w:p>
        </w:tc>
        <w:tc>
          <w:tcPr>
            <w:tcW w:w="2448"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Наименование</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индикатора</w:t>
            </w:r>
          </w:p>
        </w:tc>
        <w:tc>
          <w:tcPr>
            <w:tcW w:w="1248"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Единица</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измерения</w:t>
            </w:r>
          </w:p>
        </w:tc>
        <w:tc>
          <w:tcPr>
            <w:tcW w:w="4140" w:type="dxa"/>
            <w:gridSpan w:val="5"/>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Показатели по годам</w:t>
            </w:r>
          </w:p>
        </w:tc>
      </w:tr>
      <w:tr w:rsidR="006A2B86" w:rsidRPr="006A2B86" w:rsidTr="006A2B86">
        <w:trPr>
          <w:tblCellSpacing w:w="0" w:type="dxa"/>
        </w:trPr>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2018</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2019</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2021</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2021</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2030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Ожидаемая</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продолжительность жизни</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лет</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71</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72</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72,5</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73</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73,5</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Показатель рождаемости</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число</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родившихся на 1000 чел населения</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13,5</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14,5</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16</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3</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Доля детей в возрасте от 3 до 7 лет, охваченных дошкольным образованием</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Доля детей, охваченных школьным образованием</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Уровень обеспеченности населения объектами здравоохранения</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Удельный вес населения, систематически занимающегося физической культурой и спортом</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21</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22</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24</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26</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Уровень безработицы</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5,5</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4,5</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4,0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8</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Доля населения, обеспеченная объектами культуры в соответствии с нормативными значениями</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4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w:t>
            </w:r>
          </w:p>
        </w:tc>
        <w:tc>
          <w:tcPr>
            <w:tcW w:w="24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Увеличение доли населения обеспеченной спортивными объектами в соответствии с нормативными значениями</w:t>
            </w:r>
          </w:p>
        </w:tc>
        <w:tc>
          <w:tcPr>
            <w:tcW w:w="1248"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50</w:t>
            </w:r>
          </w:p>
        </w:tc>
        <w:tc>
          <w:tcPr>
            <w:tcW w:w="68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69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140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5" w:name="_Toc496710903"/>
      <w:r w:rsidRPr="006A2B86">
        <w:rPr>
          <w:rFonts w:ascii="Tahoma" w:eastAsia="Times New Roman" w:hAnsi="Tahoma" w:cs="Tahoma"/>
          <w:color w:val="44A1C7"/>
          <w:sz w:val="20"/>
          <w:szCs w:val="20"/>
          <w:lang w:eastAsia="ru-RU"/>
        </w:rPr>
        <w:t>8. ЭФФЕКТИВНОСТЬ МЕРОПРИЯТИЙ ПО РАЗВИТИЮ СЕТИ ОБЪЕКТОВ СОЦИАЛЬНОЙ ИНФРАСТРУКТУРЫ</w:t>
      </w:r>
      <w:bookmarkEnd w:id="15"/>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Формирование сбалансированного рынка труда и занятости населения за счет увеличения количества мест приложения труда, снижения уровня безработицы, создания условий для привлечения на территорию поселения квалифицированных кадров.</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Создание условий для развития таких отраслей, как образование, физическая культура и массовый спорт, культура.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Улучшение качества жизни населения сельского поселения за счет увеличения уровня обеспеченности объектами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6" w:name="bookmark15"/>
      <w:r w:rsidRPr="006A2B86">
        <w:rPr>
          <w:rFonts w:ascii="Tahoma" w:eastAsia="Times New Roman" w:hAnsi="Tahoma" w:cs="Tahoma"/>
          <w:color w:val="44A1C7"/>
          <w:sz w:val="20"/>
          <w:szCs w:val="20"/>
          <w:lang w:eastAsia="ru-RU"/>
        </w:rPr>
        <w:t>Показатели социальной эффективности мероприятий по развитию сети объектов социальной инфраструктуры в Оекского МО приведены ниже (Таблица 8.1Таблица ).</w:t>
      </w:r>
      <w:bookmarkEnd w:id="16"/>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Таблица 8.1 - Показатели социальной эффективности мероприятий по развитию сети объектов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36"/>
        <w:gridCol w:w="1224"/>
        <w:gridCol w:w="1080"/>
        <w:gridCol w:w="1812"/>
      </w:tblGrid>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Вид объекта</w:t>
            </w:r>
          </w:p>
        </w:tc>
        <w:tc>
          <w:tcPr>
            <w:tcW w:w="1224"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Количество</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создаваемых</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рабочих</w:t>
            </w: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мест</w:t>
            </w:r>
          </w:p>
        </w:tc>
        <w:tc>
          <w:tcPr>
            <w:tcW w:w="2892" w:type="dxa"/>
            <w:gridSpan w:val="2"/>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Уровень обеспеченности населения объектами социальной инфраструктуры, %</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2018 год</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2030 год</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Дошкольные образовательные</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90</w:t>
            </w:r>
          </w:p>
        </w:tc>
        <w:tc>
          <w:tcPr>
            <w:tcW w:w="1812"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организации</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Общеобразовательные организации</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Организации дополнительного</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85</w:t>
            </w:r>
          </w:p>
        </w:tc>
        <w:tc>
          <w:tcPr>
            <w:tcW w:w="1812" w:type="dxa"/>
            <w:vMerge w:val="restart"/>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образования</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6A2B86" w:rsidRPr="006A2B86" w:rsidRDefault="006A2B86" w:rsidP="006A2B86">
            <w:pPr>
              <w:spacing w:line="240" w:lineRule="auto"/>
              <w:ind w:firstLine="0"/>
              <w:rPr>
                <w:rFonts w:ascii="Tahoma" w:eastAsia="Times New Roman" w:hAnsi="Tahoma" w:cs="Tahoma"/>
                <w:color w:val="2C2C2C"/>
                <w:sz w:val="20"/>
                <w:szCs w:val="20"/>
                <w:lang w:eastAsia="ru-RU"/>
              </w:rPr>
            </w:pP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Учреждения культуры клубного типа</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70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Библиотеки</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w:t>
            </w: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80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Музеи</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Физкультурно-спортивные залы</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Плавательные бассейны</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15</w:t>
            </w: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Плоскостные сооружения</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60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r w:rsidR="006A2B86" w:rsidRPr="006A2B86" w:rsidTr="006A2B86">
        <w:trPr>
          <w:tblCellSpacing w:w="0" w:type="dxa"/>
        </w:trPr>
        <w:tc>
          <w:tcPr>
            <w:tcW w:w="3336"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Объекты здравоохранения</w:t>
            </w:r>
          </w:p>
        </w:tc>
        <w:tc>
          <w:tcPr>
            <w:tcW w:w="1224"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20</w:t>
            </w:r>
          </w:p>
        </w:tc>
        <w:tc>
          <w:tcPr>
            <w:tcW w:w="1080"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90</w:t>
            </w:r>
          </w:p>
        </w:tc>
        <w:tc>
          <w:tcPr>
            <w:tcW w:w="1812" w:type="dxa"/>
            <w:shd w:val="clear" w:color="auto" w:fill="FFFFFF"/>
            <w:hideMark/>
          </w:tcPr>
          <w:p w:rsidR="006A2B86" w:rsidRPr="006A2B86" w:rsidRDefault="006A2B86" w:rsidP="006A2B86">
            <w:pPr>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100</w:t>
            </w:r>
          </w:p>
        </w:tc>
      </w:tr>
    </w:tbl>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Создание новых рабочих мест, которые предусматриваются мероприятиями программы комплексного развития социальной инфраструктуры, приведет к увеличению налоговых доходов за счет увеличения поступлений налога на доходы физических лиц в бюджет Иркутского района и Оёкского МО.</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bookmarkStart w:id="17" w:name="_Toc496710904"/>
      <w:r w:rsidRPr="006A2B86">
        <w:rPr>
          <w:rFonts w:ascii="Tahoma" w:eastAsia="Times New Roman" w:hAnsi="Tahoma" w:cs="Tahoma"/>
          <w:color w:val="44A1C7"/>
          <w:sz w:val="20"/>
          <w:szCs w:val="20"/>
          <w:lang w:eastAsia="ru-RU"/>
        </w:rPr>
        <w:t>9. ПРЕДЛОЖЕНИЯ ПО СОВЕРШЕНСТВОВАНИЮ НОРМАТИВНО – ПРАВОВОГО И ИНФОРМАЦИОННОГО ОБЕСПЕЧЕНИЯ РАЗВИТИЯ СОЦИАЛЬНОЙ ИНФРАСТРУКТУРЫ</w:t>
      </w:r>
      <w:bookmarkEnd w:id="17"/>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Реализация Программы осуществляется через систему программных мероприятий разрабатываемых муниципальных программ Оёкского муниципального образования Иркутского района, а также с учетом федеральных проектов и программ, государственных программ Иркутской области и муниципальных программ муниципального образования Иркутский район, реализуемых на территории поселения.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В соответствии с изложенной в Программе политикой администрация Оёкского муниципального образования Иркутского района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Программа реализуется на всей территории Оёкского муниципального образования. Контроль над исполнением Программы осуществляет администрация Оёкского муниципального образования. Организационная структура управления Программой базируется на существующей системе представительной и исполнительной власти муниципального образования. Выполнение оперативных функций по реализации Программы возлагается на специалистов администрации муниципального образования, муниципальные учреждения МО. Для оценки эффективности реализации Программы администрацией муниципального образования проводится ежегодный мониторинг. 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 Программа может корректироваться в зависимости от обеспечения финансирования, изменение условий функционирования и 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Инвестиционные программы утверждаются в соответствии с законодательством с учетом соответствия мероприятий и сроков инвестиционной программы Программе комплексного развития социальной инфраструктуры. При этом уточняются необходимые объемы финансирования, и приводится обоснование по источникам финансирования: собственные средства, привлеченные средства, средства внебюджетных источников, прочие источники.</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Мониторинг Программы комплексного развития социальной инфраструктуры муниципального образования включает два этапа:</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Периодический сбор информации о результатах выполнения мероприятий Программы, а также информации о состоянии и развитии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Анализ данных о результатах проводимых преобразований социальной инфраструктуры.</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Мониторинг Программы комплексного развития социальной инфраструктуры муниципального образования предусматривает сопоставление и сравнение значений показателей во временном аспекте. 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 или по представлению главы муниципального образования.</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t>Развитие информационного обеспечения деятельности в сфере проектирования, строительства, реконструкции объектов социальной инфраструктуры связано, в первую очередь, с необходимостью оперативного обеспечения граждан и организаций достоверной, актуальной, юридически значимой информацией о современном и планируемом состоянии территории муниципальных образований Иркутского района в электронном виде, реализацией возможности получить в электронном виде ключевые документы, необходимые для осуществления инвестиционной деятельности по реализации социальных проектов, от разработки градостроительной документации и предоставления земельного участка до ввода объекта в эксплуатацию.</w:t>
      </w:r>
    </w:p>
    <w:p w:rsidR="006A2B86" w:rsidRPr="006A2B86" w:rsidRDefault="006A2B86" w:rsidP="006A2B86">
      <w:pPr>
        <w:shd w:val="clear" w:color="auto" w:fill="FFFFFF"/>
        <w:spacing w:after="96" w:line="240" w:lineRule="auto"/>
        <w:ind w:firstLine="0"/>
        <w:rPr>
          <w:rFonts w:ascii="Tahoma" w:eastAsia="Times New Roman" w:hAnsi="Tahoma" w:cs="Tahoma"/>
          <w:color w:val="2C2C2C"/>
          <w:sz w:val="20"/>
          <w:szCs w:val="20"/>
          <w:lang w:eastAsia="ru-RU"/>
        </w:rPr>
      </w:pPr>
      <w:r w:rsidRPr="006A2B86">
        <w:rPr>
          <w:rFonts w:ascii="Tahoma" w:eastAsia="Times New Roman" w:hAnsi="Tahoma" w:cs="Tahoma"/>
          <w:color w:val="2C2C2C"/>
          <w:sz w:val="20"/>
          <w:szCs w:val="20"/>
          <w:lang w:eastAsia="ru-RU"/>
        </w:rPr>
        <w:lastRenderedPageBreak/>
        <w:t>Кроме того, автоматизация процессов предоставления муниципальных услуг в сфере строительства позволит сократить истинные сроки инвестиционного цикла в строительстве от предоставления земельного участка до ввода объекта в эксплуатацию, улучшить функционирования и взаимодействия органов местного самоуправления не только между собой, но и с органами исполнительной власти субъекта РФ при осуществлении градостроительной деятельности и предоставлении муниципальных услуг.</w:t>
      </w:r>
    </w:p>
    <w:p w:rsidR="003E0016" w:rsidRPr="002C7DF0" w:rsidRDefault="003E0016" w:rsidP="00C44227">
      <w:pPr>
        <w:ind w:firstLine="0"/>
      </w:pPr>
      <w:bookmarkStart w:id="18" w:name="_GoBack"/>
      <w:bookmarkEnd w:id="18"/>
    </w:p>
    <w:sectPr w:rsidR="003E0016" w:rsidRPr="002C7D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769B"/>
    <w:rsid w:val="00591862"/>
    <w:rsid w:val="00594145"/>
    <w:rsid w:val="005A0B69"/>
    <w:rsid w:val="005A2BB6"/>
    <w:rsid w:val="005A6256"/>
    <w:rsid w:val="005B0E57"/>
    <w:rsid w:val="005B3585"/>
    <w:rsid w:val="005B3912"/>
    <w:rsid w:val="005B7ED6"/>
    <w:rsid w:val="005C0170"/>
    <w:rsid w:val="005C25A6"/>
    <w:rsid w:val="005C6A54"/>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E3669"/>
    <w:rsid w:val="00DE62E4"/>
    <w:rsid w:val="00DF04FB"/>
    <w:rsid w:val="00DF4310"/>
    <w:rsid w:val="00E02245"/>
    <w:rsid w:val="00E0372D"/>
    <w:rsid w:val="00E05964"/>
    <w:rsid w:val="00E06FC1"/>
    <w:rsid w:val="00E11807"/>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27</Pages>
  <Words>10423</Words>
  <Characters>59413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490</cp:revision>
  <dcterms:created xsi:type="dcterms:W3CDTF">2022-10-31T02:01:00Z</dcterms:created>
  <dcterms:modified xsi:type="dcterms:W3CDTF">2022-11-01T03:45:00Z</dcterms:modified>
</cp:coreProperties>
</file>