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РОССИЙСКАЯ ФЕДЕРАЦИЯ</w:t>
      </w: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ИРКУТСКАЯ ОБЛАСТЬ</w:t>
      </w: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ИРКУТСКИЙ РАЙОН</w:t>
      </w: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ОЕКСКОЕ МУНИЦИПАЛЬНОЕ ОБРАЗОВАНИЕ</w:t>
      </w: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ДУМА</w:t>
      </w: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РЕШЕНИЕ</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от «___» ____________ 2017 г.                                                                                                    № _________</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ОБ УТВЕРЖДЕНИИ ПРОГРАММЫ КОМПЛЕКСНОГО РАЗВИТИЯ СОЦИАЛЬНОЙ ИНФРАСТРУКТУРЫ ОЕКСКОГО МУНИЦИПАЛЬНОГО ОБРАЗОВАНИЯ ИРКУТСКОГО РАЙОНА ИРКУТСКОЙ ОБЛАСТИ</w:t>
      </w: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НА ПЕРИОД 2018 – 2030 ГГ.</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В целях обеспечения сбалансированного, перспективного развития социальной инфраструктуры Оекского муниципального образования в соответствии с потребностями в строительстве, реконструкции объектов социальной инфраструктуры, руководствуясь ст. ст. 1, 8, 26 Градостроительного кодекса Российской Федерации, ст. ст. 14, 14.1, 28, 36, 52 Федерального Закона от 06.10.2003 года за № 131-ФЗ «Об общих принципах организации местного самоуправления в Российской Федерации», Постановлением Правительства Российской Федерации от 01.10.2015 № 1050 «Об утверждении требований к программам комплексного развития социальной инфраструктуры поселений, городских округов», ст. ст. 6, 49 Устава Оекского муниципального образования, Генеральным планом Оекского сельского поселения, утвержденного решением Думы Оекского муниципального образования от 30.03.2012 года №61-15 Д/сп, Дума Оекского муниципального образования,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РЕШИЛА:</w:t>
      </w:r>
    </w:p>
    <w:p w:rsidR="00DD4B6C" w:rsidRPr="00DD4B6C" w:rsidRDefault="00DD4B6C" w:rsidP="00DD4B6C">
      <w:pPr>
        <w:spacing w:line="240" w:lineRule="auto"/>
        <w:ind w:firstLine="0"/>
        <w:jc w:val="left"/>
        <w:rPr>
          <w:rFonts w:eastAsia="Times New Roman" w:cs="Times New Roman"/>
          <w:sz w:val="24"/>
          <w:szCs w:val="24"/>
          <w:lang w:eastAsia="ru-RU"/>
        </w:rPr>
      </w:pPr>
      <w:r w:rsidRPr="00DD4B6C">
        <w:rPr>
          <w:rFonts w:ascii="Tahoma" w:eastAsia="Times New Roman" w:hAnsi="Tahoma" w:cs="Tahoma"/>
          <w:color w:val="2C2C2C"/>
          <w:sz w:val="20"/>
          <w:szCs w:val="20"/>
          <w:lang w:eastAsia="ru-RU"/>
        </w:rPr>
        <w:br/>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Утвердить Программу комплексного развития социальной инфраструктуры Оекского муниципального образования Иркутского района Иркутской области на 2018-2030 годы (Приложение №1).</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 Опубликовать настоящее решение в информационном бюллетене «Вестник Оекского муниципального образования» и разместить в информационно-телекоммуникационной сети «Интернет» на сайте администрации www.oek.su.</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 Настоящее решение вступает в силу со дня его официального опубликования.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 Контроль за исполнением настоящего решения возложить на постоянную комиссию планово-бюджетную, по экономике, хозяйству и муниципальной собственности.</w:t>
      </w:r>
    </w:p>
    <w:p w:rsidR="00DD4B6C" w:rsidRPr="00DD4B6C" w:rsidRDefault="00DD4B6C" w:rsidP="00DD4B6C">
      <w:pPr>
        <w:shd w:val="clear" w:color="auto" w:fill="FFFFFF"/>
        <w:spacing w:after="96" w:line="240" w:lineRule="auto"/>
        <w:ind w:firstLine="0"/>
        <w:jc w:val="right"/>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right"/>
        <w:rPr>
          <w:rFonts w:ascii="Tahoma" w:eastAsia="Times New Roman" w:hAnsi="Tahoma" w:cs="Tahoma"/>
          <w:color w:val="2C2C2C"/>
          <w:sz w:val="20"/>
          <w:szCs w:val="20"/>
          <w:lang w:eastAsia="ru-RU"/>
        </w:rPr>
      </w:pPr>
      <w:r w:rsidRPr="00DD4B6C">
        <w:rPr>
          <w:rFonts w:ascii="Tahoma" w:eastAsia="Times New Roman" w:hAnsi="Tahoma" w:cs="Tahoma"/>
          <w:i/>
          <w:iCs/>
          <w:color w:val="2C2C2C"/>
          <w:sz w:val="20"/>
          <w:szCs w:val="20"/>
          <w:lang w:eastAsia="ru-RU"/>
        </w:rPr>
        <w:t>Глава Оекского муниципального образования О.А. Парфенов</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right"/>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Приложение №1</w:t>
      </w:r>
    </w:p>
    <w:p w:rsidR="00DD4B6C" w:rsidRPr="00DD4B6C" w:rsidRDefault="00DD4B6C" w:rsidP="00DD4B6C">
      <w:pPr>
        <w:shd w:val="clear" w:color="auto" w:fill="FFFFFF"/>
        <w:spacing w:after="96" w:line="240" w:lineRule="auto"/>
        <w:ind w:firstLine="0"/>
        <w:jc w:val="right"/>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 решению Думы Оекского</w:t>
      </w:r>
    </w:p>
    <w:p w:rsidR="00DD4B6C" w:rsidRPr="00DD4B6C" w:rsidRDefault="00DD4B6C" w:rsidP="00DD4B6C">
      <w:pPr>
        <w:shd w:val="clear" w:color="auto" w:fill="FFFFFF"/>
        <w:spacing w:after="96" w:line="240" w:lineRule="auto"/>
        <w:ind w:firstLine="0"/>
        <w:jc w:val="right"/>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муниципального образования</w:t>
      </w:r>
    </w:p>
    <w:p w:rsidR="00DD4B6C" w:rsidRPr="00DD4B6C" w:rsidRDefault="00DD4B6C" w:rsidP="00DD4B6C">
      <w:pPr>
        <w:shd w:val="clear" w:color="auto" w:fill="FFFFFF"/>
        <w:spacing w:after="96" w:line="240" w:lineRule="auto"/>
        <w:ind w:firstLine="0"/>
        <w:jc w:val="right"/>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от «__» ________2017 года №____</w:t>
      </w:r>
    </w:p>
    <w:p w:rsidR="00DD4B6C" w:rsidRPr="00DD4B6C" w:rsidRDefault="00DD4B6C" w:rsidP="00DD4B6C">
      <w:pPr>
        <w:shd w:val="clear" w:color="auto" w:fill="FFFFFF"/>
        <w:spacing w:after="96" w:line="240" w:lineRule="auto"/>
        <w:ind w:firstLine="0"/>
        <w:jc w:val="right"/>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Программа комплексного развития социальной инфраструктуры Оекского муниципального образования Иркутского района Иркутской области на период 2018 – 2030 гг.</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Оек 2017</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bookmarkStart w:id="0" w:name="_Toc496710888"/>
      <w:bookmarkEnd w:id="0"/>
      <w:r w:rsidRPr="00DD4B6C">
        <w:rPr>
          <w:rFonts w:ascii="Tahoma" w:eastAsia="Times New Roman" w:hAnsi="Tahoma" w:cs="Tahoma"/>
          <w:b/>
          <w:bCs/>
          <w:color w:val="2C2C2C"/>
          <w:sz w:val="20"/>
          <w:szCs w:val="20"/>
          <w:lang w:eastAsia="ru-RU"/>
        </w:rPr>
        <w:t>1. ПАСПОРТ ПРОГРАММЫ</w:t>
      </w:r>
    </w:p>
    <w:tbl>
      <w:tblPr>
        <w:tblpPr w:leftFromText="36" w:rightFromText="36" w:vertAnchor="text"/>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932"/>
        <w:gridCol w:w="6324"/>
      </w:tblGrid>
      <w:tr w:rsidR="00DD4B6C" w:rsidRPr="00DD4B6C" w:rsidTr="00DD4B6C">
        <w:trPr>
          <w:tblCellSpacing w:w="0" w:type="dxa"/>
        </w:trPr>
        <w:tc>
          <w:tcPr>
            <w:tcW w:w="1932"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Наименование программы</w:t>
            </w:r>
          </w:p>
        </w:tc>
        <w:tc>
          <w:tcPr>
            <w:tcW w:w="632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Программа комплексного развития социальной инфраструктуры Оекского муниципального образования Иркутского района Иркутской области на период 2018 – 2030 гг.»</w:t>
            </w:r>
          </w:p>
        </w:tc>
      </w:tr>
      <w:tr w:rsidR="00DD4B6C" w:rsidRPr="00DD4B6C" w:rsidTr="00DD4B6C">
        <w:trPr>
          <w:tblCellSpacing w:w="0" w:type="dxa"/>
        </w:trPr>
        <w:tc>
          <w:tcPr>
            <w:tcW w:w="1932"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Основания для разработки программы</w:t>
            </w:r>
          </w:p>
        </w:tc>
        <w:tc>
          <w:tcPr>
            <w:tcW w:w="632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Распоряжение Правительства РФ от 29.07.2013 № 1336-р «План мероприятий («дорожная карта») «Совершенствование правового регулирования градостроительной деятельности и улучшение предпринимательского климата в сфере строительства»;</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Градостроительный кодекс Российской Федерации;</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Федеральный закон от 06.10.2003 № 131-ФЗ «Об общих принципах организации местного самоуправления в Российской Федерации»;</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Постановление Правительства Российской Федерации от 01.10.2015 № 1050 «Об утверждении требований к программам комплексного развития социальной инфраструктуры поселений, городских округов»;</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Генеральный план Оекского муниципального образования Иркутского района Иркутской области;</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Распоряжение администрации Оекского муниципального образования от 18.01.2017г. №11-р «О разработке программы комплексного развития социальной инфраструктуры Оекского муниципального образования на период 2017-2030гг.»</w:t>
            </w:r>
          </w:p>
        </w:tc>
      </w:tr>
      <w:tr w:rsidR="00DD4B6C" w:rsidRPr="00DD4B6C" w:rsidTr="00DD4B6C">
        <w:trPr>
          <w:tblCellSpacing w:w="0" w:type="dxa"/>
        </w:trPr>
        <w:tc>
          <w:tcPr>
            <w:tcW w:w="1932"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Разработчики программы</w:t>
            </w:r>
          </w:p>
        </w:tc>
        <w:tc>
          <w:tcPr>
            <w:tcW w:w="632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Администрация Оекского муниципального образования – администрация сельского поселения</w:t>
            </w:r>
          </w:p>
        </w:tc>
      </w:tr>
      <w:tr w:rsidR="00DD4B6C" w:rsidRPr="00DD4B6C" w:rsidTr="00DD4B6C">
        <w:trPr>
          <w:tblCellSpacing w:w="0" w:type="dxa"/>
        </w:trPr>
        <w:tc>
          <w:tcPr>
            <w:tcW w:w="1932"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Цели программы</w:t>
            </w:r>
          </w:p>
        </w:tc>
        <w:tc>
          <w:tcPr>
            <w:tcW w:w="632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обеспечение безопасности, качества и эффективности использования населением объектов социальной инфраструктуры сельского поселения;</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обеспечение доступности объектов социальной инфраструктуры сельского поселения для населения в соответствии с нормативами градостроительного проектирования;</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обеспечение сбалансированного развития систем социальной инфраструктуры муниципального образования до 2030 года в соответствии с установленными потребностями в объектах социальной инфраструктуры;</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достижение расчетного уровня обеспеченности населения сельского поселения услугами объектов социальной инфраструктуры в соответствии с нормативами градостроительного проектирования;</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обеспечение эффективности функционирования действующей социальной инфраструктуры сельского поселения.</w:t>
            </w:r>
          </w:p>
        </w:tc>
      </w:tr>
      <w:tr w:rsidR="00DD4B6C" w:rsidRPr="00DD4B6C" w:rsidTr="00DD4B6C">
        <w:trPr>
          <w:tblCellSpacing w:w="0" w:type="dxa"/>
        </w:trPr>
        <w:tc>
          <w:tcPr>
            <w:tcW w:w="1932"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Задачи программы</w:t>
            </w:r>
          </w:p>
        </w:tc>
        <w:tc>
          <w:tcPr>
            <w:tcW w:w="632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анализ социально-экономического развития сельского поселения, наличия и уровня обеспеченности населения сельского поселения услугами объектов социальной инфраструктуры;</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lastRenderedPageBreak/>
              <w:t>- прогноз потребностей населения муниципального образования в объектах социальной инфраструктуры до 2030 года;</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формирование перечня мероприятий (инвестиционных проектов) по проектированию, строительству, реконструкции объектов социальной инфраструктуры сельского поселения,</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оценка объемов и источников финансирования мероприятий по проектированию, строительству, реконструкции объектов социальной инфраструктуры сельского поселения;</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оценка эффективности реализации мероприятий и соответствия нормативам градостроительного проектирования сельского поселения;</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предложения по совершенствованию нормативно-правового и информационного обеспечения развития социальной инфраструктуры сельского поселения;</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предложения по повышению доступности среды для маломобильных групп населения сельского поселения.</w:t>
            </w:r>
          </w:p>
        </w:tc>
      </w:tr>
      <w:tr w:rsidR="00DD4B6C" w:rsidRPr="00DD4B6C" w:rsidTr="00DD4B6C">
        <w:trPr>
          <w:tblCellSpacing w:w="0" w:type="dxa"/>
        </w:trPr>
        <w:tc>
          <w:tcPr>
            <w:tcW w:w="1932"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lastRenderedPageBreak/>
              <w:t>Целевые показатели программы</w:t>
            </w:r>
          </w:p>
        </w:tc>
        <w:tc>
          <w:tcPr>
            <w:tcW w:w="632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рост ожидаемой продолжительности жизни населения Оекского муниципального образования;</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увеличение показателя рождаемости;</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сокращение уровня безработицы;</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увеличение доли детей в возрасте от 3 до 7 лет, охваченных дошкольным образованием;</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увеличение доли детей охваченных школьным образованием;</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увеличение уровня обеспеченности населения объектами здравоохранения;</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увеличение доли населения обеспеченной объектами культуры в соответствии с нормативными значениями;</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увеличение доли населения обеспеченными спортивными объектами в соответствии с нормативными значениями;</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увеличение количества населения, систематически занимающегося физической культурой и спортом.</w:t>
            </w:r>
          </w:p>
        </w:tc>
      </w:tr>
      <w:tr w:rsidR="00DD4B6C" w:rsidRPr="00DD4B6C" w:rsidTr="00DD4B6C">
        <w:trPr>
          <w:tblCellSpacing w:w="0" w:type="dxa"/>
        </w:trPr>
        <w:tc>
          <w:tcPr>
            <w:tcW w:w="1932"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Этапы и сроки реализации программы</w:t>
            </w:r>
          </w:p>
        </w:tc>
        <w:tc>
          <w:tcPr>
            <w:tcW w:w="632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Срок реализации Программы – 2018 – 2030 г.г.</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Этапы реализации:</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Первый этап – 2018 – 2022 г.г.</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Второй этап – 2022 – 2030 г.г.</w:t>
            </w:r>
          </w:p>
        </w:tc>
      </w:tr>
      <w:tr w:rsidR="00DD4B6C" w:rsidRPr="00DD4B6C" w:rsidTr="00DD4B6C">
        <w:trPr>
          <w:tblCellSpacing w:w="0" w:type="dxa"/>
        </w:trPr>
        <w:tc>
          <w:tcPr>
            <w:tcW w:w="1932"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Перечень основных мероприятий, запланированных программой</w:t>
            </w:r>
          </w:p>
        </w:tc>
        <w:tc>
          <w:tcPr>
            <w:tcW w:w="632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Мероприятия по строительству объектов местного значения поселения в областях: образование, физическая культура и массовый спорт, культура;</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Мероприятия по строительству объектов местного значения поселения в области здравоохранения.</w:t>
            </w:r>
          </w:p>
        </w:tc>
      </w:tr>
      <w:tr w:rsidR="00DD4B6C" w:rsidRPr="00DD4B6C" w:rsidTr="00DD4B6C">
        <w:trPr>
          <w:tblCellSpacing w:w="0" w:type="dxa"/>
        </w:trPr>
        <w:tc>
          <w:tcPr>
            <w:tcW w:w="1932"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Объемы и источники финансирования Программы</w:t>
            </w:r>
          </w:p>
        </w:tc>
        <w:tc>
          <w:tcPr>
            <w:tcW w:w="632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Общий объем финансовых средств, необходимых для реализации мероприятий Программы, составит:</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2 797 717 000 руб., в т.ч. по годам:</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2019 год – 42 000 000 руб;</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2020 год -5 000 000 руб.;</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2021 год – 1 000 000 000 руб.;</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2022 год – 73 000 000 руб.;</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2023-2030 годы – 1 677 717 000 руб.</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lastRenderedPageBreak/>
              <w:t>Источники финансирования бюджет Оекского муниципального образования, бюджет Иркутской области, федеральный бюджет</w:t>
            </w:r>
          </w:p>
        </w:tc>
      </w:tr>
      <w:tr w:rsidR="00DD4B6C" w:rsidRPr="00DD4B6C" w:rsidTr="00DD4B6C">
        <w:trPr>
          <w:tblCellSpacing w:w="0" w:type="dxa"/>
        </w:trPr>
        <w:tc>
          <w:tcPr>
            <w:tcW w:w="1932"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lastRenderedPageBreak/>
              <w:t>Ожидаемые результаты реализации Программы</w:t>
            </w:r>
          </w:p>
        </w:tc>
        <w:tc>
          <w:tcPr>
            <w:tcW w:w="632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1.Сбалансированное развитие сети объектов социальной инфраструктуры сельского поселения;</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Увеличение уровня обеспеченности населения сельского поселения объектами социальной инфраструктуры:</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 области образования:</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дошкольными образовательными организациями</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общеобразовательными организациями</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 области физической культуры и массового спорта:</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физкультурно – спортивными залами</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 области культуры:</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учреждениями культурно-клубного типа</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 области здравоохранения:</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поликлиниками и станциями скорой помощи</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 Создание новых рабочих мест</w:t>
            </w:r>
          </w:p>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 Территориальная доступность объектов социальной инфраструктуры сельского поселения.</w:t>
            </w:r>
          </w:p>
        </w:tc>
      </w:tr>
    </w:tbl>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2. ОБЩИЕ ПОЛОЖЕНИЯ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Программа комплексного развития социальной инфраструктуры поселения - документ, устанавливающий перечень мероприятий по проектированию, строительству, реконструкции объектов социальной инфраструктуры местного значения поселения, который предусмотрен также государственными и муниципальными программами, стратегией социально</w:t>
      </w:r>
      <w:r w:rsidRPr="00DD4B6C">
        <w:rPr>
          <w:rFonts w:ascii="Tahoma" w:eastAsia="Times New Roman" w:hAnsi="Tahoma" w:cs="Tahoma"/>
          <w:color w:val="2C2C2C"/>
          <w:sz w:val="20"/>
          <w:szCs w:val="20"/>
          <w:lang w:eastAsia="ru-RU"/>
        </w:rPr>
        <w:softHyphen/>
        <w:t xml:space="preserve"> - 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Программа комплексного развития социальной инфраструктуры поселения,разрабатывается и утверждается органами местного самоуправления поселения,на основании утвержденного генерального плана поселения, и должна обеспечивать сбалансированное, перспективное развитие социальной инфраструктуры поселения,в соответствии с потребностями в строительстве объектов социальной инфраструктуры местного значения.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Реализация программы должна обеспечивать сбалансированное, перспективное развитие социальной инфраструктуры поселения, в соответствии с потребностями в строительстве, реконструкции объектов социальной инфраструктуры местного значения.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Обеспечение надежного и устойчивого обслуживания жителей Оекского муниципального образования (в дальнейшем - МО) социальными услугами, снижение износа объектов социальной инфраструктуры - одна из главных проблем, решение которой необходимо для повышения качества жизни жителей и обеспечения устойчивого развития поселения.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Решение проблемы носит комплексный характер, а реализация мероприятий по улучшению качества социальной инфраструктуры возможна только при взаимодействии органов власти всех уровней, а также концентрации финансовых, технических и научных ресурсов.</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Система основных мероприятий Программы определяет приоритетные направления в сфере социального обслуживания на территории Поселения и предполагает реализацию следующих мероприятий: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Мероприятия по строительству объектов местного значения поселения в областях: образование, физическая культура и массовый спорт, культура.</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Реализация мероприятий позволит достигнуть и сохранить обеспеченность объектами социальной инфраструктуры в соответствии с нормативными требованиями.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 Мероприятия по строительству объектов местного значения поселения в области физической культуры и массового спорта.</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lastRenderedPageBreak/>
        <w:t>Реализация мероприятий позволит задать темп устойчивого развития физической культуры и массового спорта, а также приобщить местное население к ведению здорового образа жизни и косвенно повысить демографический уровень за счет оздоровления населения.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 Мероприятия по научно-техническому сопровождению программы. Мероприятия по капитальному ремонту и ремонту будут определяться на основе результатов обследования объектов социальной инфраструктуры и уровня обеспеченности населения социальными услугами.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 ходе реализации Программы содержание мероприятий и их ресурсы обеспечения могут быть скорректированы в случае существенно изменившихся условий.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Корректировка Программы производится на основании предложений Правительства Иркутской области, администрации Оекского муниципального образования, Думы Оекского сельского поселения.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Администрация Оекского муниципального образования ежегодно с учетом выделяемых финансовых средств на реализацию Программы готовит предложения по корректировке целевых показателей, затрат по мероприятиям Программы, механизма ее реализации, состава участников Программы и вносит необходимые изменения в Программу.</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Программа комплексного развития социальной инфраструктуры Оекского муниципального образования на 2018 - 2030 (далее по тексту - Программа) подготовлена на основании: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·Распоряжение Правительства РФ от 29.07.2013 № 1336-р «План мероприятий («Дорожная карта») «Совершенствование правового регулирования градостроительной деятельности и улучшение предпринимательского климата в сфере строительства»;</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·Градостроительный кодекс Российской Федерации;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·Федеральный закон от 06.10.2003 № 131-ФЗ «Об общих принципах организации местного самоуправления в Российской Федерации»;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·Постановление Правительства Российской Федерации от 01.10.2015 № 1050 «Об утверждении требований к программам комплексного развития социальной инфраструктуры поселений, городских округов»;</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·Генеральный план Оекского муниципального образования Иркутского района Иркутской области.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Программа рассчитана на долгосрочную перспективу сроком на 12 лет.</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Таким образом, Программа является инструментом реализации приоритетных направлений развития Оекского муниципального образования на долгосрочную перспективу, ориентирована на устойчивое развитие Поселения и соответствует государственной политике реформирования социальной системы Российской Федерации.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3. ХАРАКТЕРИСТИКА СУЩЕСТВУЮЩЕГО СОСТОЯНИЯ СОЦИАЛЬНОЙ ИНФРАСТРУКТУРЫ</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3.1 Описание социально – экономического состояния поселения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Оекское муниципальное образование со статусом сельского поселения входит в состав Иркутского районного муниципального образования Иркутской области в соответствии с законом Иркутской области от 16.12.2004 г. № 94-оз «О статусе и границах муниципальных образований Иркутского района Иркутской области».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Административным центром муниципального образования со статусом сельского населенного пункта является село Оёк. По данным администрации, по состоянию на 01.01.2017 г. общая численность населения муниципального образования составляет 7135 чел.</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Расположено Оекское муниципальное образование в 38 км севернее от г. Иркутска и включает 9 населенных пунктов: с. Оек, д. Бутырки, д. Галки, д. Жердовка, д. Зыкова, д. Коты, д. Максимовщина, д. Мишонкова, д. Турская. Оекское муниципальное образование граничит со следующими муниципальными образованиями: с севера«Никольское», с юга – «Хомутовское», с запада «Ширяевское», с юго-востока – «Ревякинское», с северо-востока «Сосновоборское» (все - Иркутский муниципальный район); с востока Эхирит-Булагатским районом Усть-Ордынского Бурятского автономного округа. Расположено недалеко от реки Куды. </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lastRenderedPageBreak/>
        <w:t>Муниципальное образование пересекают следующие шоссейные дороги: а/д Иркутск –Усть-Ордынский, а/д Оек-Кударейка. По территории муниципального образования проходит высоковольтная ЛЭП.</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Территория Оекского сельского поселения в границах муниципального образования, установленных в соответствии с законом Иркутской области от 16.12.2004 г. № 94-оз «О статусе и границах муниципальных образований Иркутского района Иркутской области», составляет 33 204,7 га.</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Территория Оекского муниципального образования в границах муниципального образования, установленных в соответствии с законом Иркутской области от 16.12.2004 г №94-оз «О статусе и границах муниципальных образований Иркутского района Иркутской области», составляет 33204,7 га – это 3% от всей территории Иркутского района. В том числе селитебные территории – 2019,1 га, производственные территории (промышленно-коммунальные, инженерной и транспортной инфраструктуры) – 385,9 га,  ландшафтно-рекреационные территории (луга, леса, водные пространства) – 15942,9 га, территории сельскохозяйственного назначения – 14856,8 га.</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Климатические условия (зима холодная но не суровая, весна затяжная, лето, почти всегда жаркое и засушливое, осень продолжительная, теплая). Рельеф Оекского МО спокойный. Близость областного центра, дорог федерального и местного значения с асфальтобетонным покрытием, прохождение высоковольтных ЛЭП дает перспективу для развития промышленного и жилищного строительства.</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На территории Оекского муниципального образования расположены лесные массивы. Леса представлены насаждениями с преобладанием в составе хвойных пород, мягколиственных пород, кустарниковыми зарослями. В соответствии с народнохозяйственным и экологическим значением лесов, выполняемыми ими функциями, лесной фонд разделен на три группы. Наиболее представлены леса первой группы, выполняющие преимущественно водоохранные, защитные и социальные функции. Леса второй группы выполняют водоохранные, защитные, санитарно-гигиенические, оздоровительные и иные функции. Леса третьей группы имеют преимущественно эксплуатационное значение.</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3.2 Сведения о градостроительной деятельности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 полномочиям органов местного самоуправления поселений в области градостроительной деятельности, согласно ч. 1 ст. 8 Градостроительного кодекса Российской Федерации, относятся: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подготовка и утверждение документов территориального планирования поселений;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утверждение местных нормативов градостроительного проектирования поселений;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утверждение правил землепользования и застройки поселений;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утверждение документации по планировке территории в случаях, предусмотренных настоящим Кодексом;</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территориях поселений;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принятие решения о развитии застроенных территорий;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принятие решения о комплексном развитии территории по инициативе органа местного самоуправления.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xml:space="preserve">Действуя в рамках полномочий, установленных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администрация Оекского муниципального </w:t>
      </w:r>
      <w:r w:rsidRPr="00DD4B6C">
        <w:rPr>
          <w:rFonts w:ascii="Tahoma" w:eastAsia="Times New Roman" w:hAnsi="Tahoma" w:cs="Tahoma"/>
          <w:color w:val="2C2C2C"/>
          <w:sz w:val="20"/>
          <w:szCs w:val="20"/>
          <w:lang w:eastAsia="ru-RU"/>
        </w:rPr>
        <w:lastRenderedPageBreak/>
        <w:t>образования подготовила и утвердила муниципальные правовые акты в области градостроительных отношений.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На территории Оекского муниципального образования утверждены градостроительные документы:</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Генеральный план Оекского муниципального образования Иркутского района Иркутской области;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Правила землепользования и застройки Оекского муниципального образования Иркутского района Иркутской области.</w:t>
      </w:r>
    </w:p>
    <w:p w:rsidR="00DD4B6C" w:rsidRPr="00DD4B6C" w:rsidRDefault="00DD4B6C" w:rsidP="00DD4B6C">
      <w:pPr>
        <w:spacing w:line="240" w:lineRule="auto"/>
        <w:ind w:firstLine="0"/>
        <w:jc w:val="left"/>
        <w:rPr>
          <w:rFonts w:eastAsia="Times New Roman" w:cs="Times New Roman"/>
          <w:sz w:val="24"/>
          <w:szCs w:val="24"/>
          <w:lang w:eastAsia="ru-RU"/>
        </w:rPr>
      </w:pPr>
      <w:r w:rsidRPr="00DD4B6C">
        <w:rPr>
          <w:rFonts w:ascii="Tahoma" w:eastAsia="Times New Roman" w:hAnsi="Tahoma" w:cs="Tahoma"/>
          <w:color w:val="2C2C2C"/>
          <w:sz w:val="20"/>
          <w:szCs w:val="20"/>
          <w:lang w:eastAsia="ru-RU"/>
        </w:rPr>
        <w:br/>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bookmarkStart w:id="1" w:name="_Toc496710893"/>
      <w:bookmarkEnd w:id="1"/>
      <w:r w:rsidRPr="00DD4B6C">
        <w:rPr>
          <w:rFonts w:ascii="Tahoma" w:eastAsia="Times New Roman" w:hAnsi="Tahoma" w:cs="Tahoma"/>
          <w:b/>
          <w:bCs/>
          <w:color w:val="2C2C2C"/>
          <w:sz w:val="20"/>
          <w:szCs w:val="20"/>
          <w:lang w:eastAsia="ru-RU"/>
        </w:rPr>
        <w:t>3.3 Технико – экономические параметры обеспеченности услугами социальной инфраструктуры</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Уровень социально-экономического развития Оекского муниципального образования оценен демографическими показателями, показателями занятости населения и рынка труда, наличием объектов социального и культурно-бытового обслуживания населения.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Одним из показателей экономического развития является численность населения. Изменение численности населения служит индикатором уровня жизни в муниципальном образовании, привлекательности территории для проживания, осуществления деятельности.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Численность населения Оекского муниципального образования по данным администрации состоянию на 01.01.2017 года составила 7135 человек. Численность населения в разрезе населенных пунктов представлена в таблице.</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i/>
          <w:iCs/>
          <w:color w:val="2C2C2C"/>
          <w:sz w:val="20"/>
          <w:szCs w:val="20"/>
          <w:lang w:eastAsia="ru-RU"/>
        </w:rPr>
        <w:t>Таблица 3.3.1 – Прогноз численности населения Оекского муниципального образования</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84"/>
        <w:gridCol w:w="2016"/>
        <w:gridCol w:w="2292"/>
        <w:gridCol w:w="1644"/>
        <w:gridCol w:w="1644"/>
      </w:tblGrid>
      <w:tr w:rsidR="00DD4B6C" w:rsidRPr="00DD4B6C" w:rsidTr="00DD4B6C">
        <w:trPr>
          <w:tblCellSpacing w:w="0" w:type="dxa"/>
        </w:trPr>
        <w:tc>
          <w:tcPr>
            <w:tcW w:w="684"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w:t>
            </w:r>
          </w:p>
        </w:tc>
        <w:tc>
          <w:tcPr>
            <w:tcW w:w="2016"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Наименование населенного пункта</w:t>
            </w:r>
          </w:p>
        </w:tc>
        <w:tc>
          <w:tcPr>
            <w:tcW w:w="5580" w:type="dxa"/>
            <w:gridSpan w:val="3"/>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Население, количество человек</w:t>
            </w:r>
          </w:p>
        </w:tc>
      </w:tr>
      <w:tr w:rsidR="00DD4B6C" w:rsidRPr="00DD4B6C" w:rsidTr="00DD4B6C">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2017 год</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2022 год</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2030 год</w:t>
            </w:r>
          </w:p>
        </w:tc>
      </w:tr>
      <w:tr w:rsidR="00DD4B6C" w:rsidRPr="00DD4B6C" w:rsidTr="00DD4B6C">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 Оёк</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4030</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5648</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9037</w:t>
            </w:r>
          </w:p>
        </w:tc>
      </w:tr>
      <w:tr w:rsidR="00DD4B6C" w:rsidRPr="00DD4B6C" w:rsidTr="00DD4B6C">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 Бутырки</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662</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928</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1485</w:t>
            </w:r>
          </w:p>
        </w:tc>
      </w:tr>
      <w:tr w:rsidR="00DD4B6C" w:rsidRPr="00DD4B6C" w:rsidTr="00DD4B6C">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 Галки</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661</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926</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1482</w:t>
            </w:r>
          </w:p>
        </w:tc>
      </w:tr>
      <w:tr w:rsidR="00DD4B6C" w:rsidRPr="00DD4B6C" w:rsidTr="00DD4B6C">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 Жердовка</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298</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418</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669</w:t>
            </w:r>
          </w:p>
        </w:tc>
      </w:tr>
      <w:tr w:rsidR="00DD4B6C" w:rsidRPr="00DD4B6C" w:rsidTr="00DD4B6C">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 Зыкова</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182</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255</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408</w:t>
            </w:r>
          </w:p>
        </w:tc>
      </w:tr>
      <w:tr w:rsidR="00DD4B6C" w:rsidRPr="00DD4B6C" w:rsidTr="00DD4B6C">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 Коты</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633</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887</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1419</w:t>
            </w:r>
          </w:p>
        </w:tc>
      </w:tr>
      <w:tr w:rsidR="00DD4B6C" w:rsidRPr="00DD4B6C" w:rsidTr="00DD4B6C">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 Максимовщина</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299</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419</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670</w:t>
            </w:r>
          </w:p>
        </w:tc>
      </w:tr>
      <w:tr w:rsidR="00DD4B6C" w:rsidRPr="00DD4B6C" w:rsidTr="00DD4B6C">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8</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 Мишонкова</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102</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143</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228</w:t>
            </w:r>
          </w:p>
        </w:tc>
      </w:tr>
      <w:tr w:rsidR="00DD4B6C" w:rsidRPr="00DD4B6C" w:rsidTr="00DD4B6C">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 Турская</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268</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376</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602</w:t>
            </w:r>
          </w:p>
        </w:tc>
      </w:tr>
      <w:tr w:rsidR="00DD4B6C" w:rsidRPr="00DD4B6C" w:rsidTr="00DD4B6C">
        <w:trPr>
          <w:tblCellSpacing w:w="0" w:type="dxa"/>
        </w:trPr>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Всего</w:t>
            </w:r>
          </w:p>
        </w:tc>
        <w:tc>
          <w:tcPr>
            <w:tcW w:w="2016"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Оёкское МО</w:t>
            </w:r>
          </w:p>
        </w:tc>
        <w:tc>
          <w:tcPr>
            <w:tcW w:w="2292"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7135</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10000</w:t>
            </w:r>
          </w:p>
        </w:tc>
        <w:tc>
          <w:tcPr>
            <w:tcW w:w="164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16000</w:t>
            </w:r>
          </w:p>
        </w:tc>
      </w:tr>
    </w:tbl>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i/>
          <w:iCs/>
          <w:color w:val="2C2C2C"/>
          <w:sz w:val="20"/>
          <w:szCs w:val="20"/>
          <w:lang w:eastAsia="ru-RU"/>
        </w:rPr>
        <w:t>Таблица 3.3.2 – Динамика численности населения Оекского муниципального образования</w:t>
      </w:r>
    </w:p>
    <w:tbl>
      <w:tblPr>
        <w:tblW w:w="715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119"/>
        <w:gridCol w:w="1011"/>
        <w:gridCol w:w="1011"/>
        <w:gridCol w:w="1011"/>
      </w:tblGrid>
      <w:tr w:rsidR="00DD4B6C" w:rsidRPr="00DD4B6C" w:rsidTr="00DD4B6C">
        <w:trPr>
          <w:tblCellSpacing w:w="0" w:type="dxa"/>
        </w:trPr>
        <w:tc>
          <w:tcPr>
            <w:tcW w:w="28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Год</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2013</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2014</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2015</w:t>
            </w:r>
          </w:p>
        </w:tc>
      </w:tr>
      <w:tr w:rsidR="00DD4B6C" w:rsidRPr="00DD4B6C" w:rsidTr="00DD4B6C">
        <w:trPr>
          <w:tblCellSpacing w:w="0" w:type="dxa"/>
        </w:trPr>
        <w:tc>
          <w:tcPr>
            <w:tcW w:w="28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Численность постоянного населения на начало года, чел.</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6859</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7058</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7044</w:t>
            </w:r>
          </w:p>
        </w:tc>
      </w:tr>
      <w:tr w:rsidR="00DD4B6C" w:rsidRPr="00DD4B6C" w:rsidTr="00DD4B6C">
        <w:trPr>
          <w:tblCellSpacing w:w="0" w:type="dxa"/>
        </w:trPr>
        <w:tc>
          <w:tcPr>
            <w:tcW w:w="28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Родилось чел.</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137</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118</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132</w:t>
            </w:r>
          </w:p>
        </w:tc>
      </w:tr>
      <w:tr w:rsidR="00DD4B6C" w:rsidRPr="00DD4B6C" w:rsidTr="00DD4B6C">
        <w:trPr>
          <w:tblCellSpacing w:w="0" w:type="dxa"/>
        </w:trPr>
        <w:tc>
          <w:tcPr>
            <w:tcW w:w="28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Рождаемость(на 1000 жит.)</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19,97</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16,7</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19,02</w:t>
            </w:r>
          </w:p>
        </w:tc>
      </w:tr>
      <w:tr w:rsidR="00DD4B6C" w:rsidRPr="00DD4B6C" w:rsidTr="00DD4B6C">
        <w:trPr>
          <w:tblCellSpacing w:w="0" w:type="dxa"/>
        </w:trPr>
        <w:tc>
          <w:tcPr>
            <w:tcW w:w="28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Умерло чел.</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72</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77</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75</w:t>
            </w:r>
          </w:p>
        </w:tc>
      </w:tr>
      <w:tr w:rsidR="00DD4B6C" w:rsidRPr="00DD4B6C" w:rsidTr="00DD4B6C">
        <w:trPr>
          <w:tblCellSpacing w:w="0" w:type="dxa"/>
        </w:trPr>
        <w:tc>
          <w:tcPr>
            <w:tcW w:w="28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Смертность (на 1000 жит.)</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10,5</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10,9</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10,7</w:t>
            </w:r>
          </w:p>
        </w:tc>
      </w:tr>
      <w:tr w:rsidR="00DD4B6C" w:rsidRPr="00DD4B6C" w:rsidTr="00DD4B6C">
        <w:trPr>
          <w:tblCellSpacing w:w="0" w:type="dxa"/>
        </w:trPr>
        <w:tc>
          <w:tcPr>
            <w:tcW w:w="28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Естественный прирост (убыль) чел.</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+65</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+41</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+57</w:t>
            </w:r>
          </w:p>
        </w:tc>
      </w:tr>
      <w:tr w:rsidR="00DD4B6C" w:rsidRPr="00DD4B6C" w:rsidTr="00DD4B6C">
        <w:trPr>
          <w:tblCellSpacing w:w="0" w:type="dxa"/>
        </w:trPr>
        <w:tc>
          <w:tcPr>
            <w:tcW w:w="28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Прибыло</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333</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131</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147</w:t>
            </w:r>
          </w:p>
        </w:tc>
      </w:tr>
      <w:tr w:rsidR="00DD4B6C" w:rsidRPr="00DD4B6C" w:rsidTr="00DD4B6C">
        <w:trPr>
          <w:tblCellSpacing w:w="0" w:type="dxa"/>
        </w:trPr>
        <w:tc>
          <w:tcPr>
            <w:tcW w:w="28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Выбыло</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189</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186</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179</w:t>
            </w:r>
          </w:p>
        </w:tc>
      </w:tr>
      <w:tr w:rsidR="00DD4B6C" w:rsidRPr="00DD4B6C" w:rsidTr="00DD4B6C">
        <w:trPr>
          <w:tblCellSpacing w:w="0" w:type="dxa"/>
        </w:trPr>
        <w:tc>
          <w:tcPr>
            <w:tcW w:w="28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lastRenderedPageBreak/>
              <w:t>Прирост населения</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209</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25</w:t>
            </w:r>
          </w:p>
        </w:tc>
      </w:tr>
    </w:tbl>
    <w:p w:rsidR="00DD4B6C" w:rsidRPr="00DD4B6C" w:rsidRDefault="00DD4B6C" w:rsidP="00DD4B6C">
      <w:pPr>
        <w:spacing w:line="240" w:lineRule="auto"/>
        <w:ind w:firstLine="0"/>
        <w:jc w:val="left"/>
        <w:rPr>
          <w:rFonts w:eastAsia="Times New Roman" w:cs="Times New Roman"/>
          <w:sz w:val="24"/>
          <w:szCs w:val="24"/>
          <w:lang w:eastAsia="ru-RU"/>
        </w:rPr>
      </w:pPr>
      <w:r w:rsidRPr="00DD4B6C">
        <w:rPr>
          <w:rFonts w:ascii="Tahoma" w:eastAsia="Times New Roman" w:hAnsi="Tahoma" w:cs="Tahoma"/>
          <w:color w:val="2C2C2C"/>
          <w:sz w:val="20"/>
          <w:szCs w:val="20"/>
          <w:lang w:eastAsia="ru-RU"/>
        </w:rPr>
        <w:br/>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За период 2015-2017 года наблюдается естественный прирост, связанный с повышением рождаемости, рождаются дети, как в молодых семьях, так и в семьях, где уже имеются дети. Кроме этого, в рамках реализации Федерального закона от 24.07.2008 г. №161-ФЗ «О содействии развитию жилищного строительства» с 2014 года Министерством имущественных отношений Иркутской области ведется работа по формированию и выделению земельных участков в собственность многодетным семьям в целях индивидуального жилищного строительства на землях Оекского муниципального образования. Также в последнее время наблюдаются процессы субурбанизации, когда жители большого города перебираются в окрестные населённые пункты с целью постоянного проживания или для летнего пребывания. Учитывая проведенный анализ прогнозов демографического развития сельского поселения, наиболее вероятным рассматривается сценарий увеличения численности населения. Для достижения целей Программы принимается условие, при котором численность жителей и хозяйствующих субъектов имеет тенденцию роста.</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bookmarkStart w:id="2" w:name="_Toc496710894"/>
      <w:bookmarkEnd w:id="2"/>
      <w:r w:rsidRPr="00DD4B6C">
        <w:rPr>
          <w:rFonts w:ascii="Tahoma" w:eastAsia="Times New Roman" w:hAnsi="Tahoma" w:cs="Tahoma"/>
          <w:b/>
          <w:bCs/>
          <w:color w:val="2C2C2C"/>
          <w:sz w:val="20"/>
          <w:szCs w:val="20"/>
          <w:lang w:eastAsia="ru-RU"/>
        </w:rPr>
        <w:t>3.3.1 Образование</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Система образования в Оекском муниципальном образовании представлена следующими типами, видами учреждений общего, дошкольного, дополнительного образования и включает 10 учреждений, из них: </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- 2 средние общеобразовательные школы (с. Оек и д. Бутырки);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- 3 малокомплектные школы (д. Турская, д. Галки,д. Коты);</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- 3  дошкольных учреждения (с. Оек, д. Бутырки, а также в д. Максимовщина, на территории в/ч 51870);</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- 1  детская музыкальная школа;</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- 1 профессиональное училище;</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 Оекском муниципальном образовании действуют две муниципальные средние общеобразовательные школы (с. Оёк и д. Бутырки) вместимостью 893 места, а так же три начальные общеобразовательные школы (д. Галки, д. Турская и д. Коты) вместимостью 61 место.</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Общая вместимость общеобразовательных школ поселения составляет 954 места при фактической наполняемости 993 мест, а также с учетом динамики прироста населения, необходимо строительство дополнительных общеобразовательных учреждений.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 поселении функционирует два детских дошкольных образовательных учреждения - в с. Оёк и д. Бутырки. Вместимость данных детских садов составляет 75 и 98 мест соответственно, фактическая наполняемость дошкольных учреждений – 130 детей в с. Оек и 120 детей в д. Бутырки.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ПУ-№60. Обучение в профессиональном училище осуществляется по следующим направлениям:</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Тракторис-машинист сельскохозяйственного производства;</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 Мастер по обработке цифровой информации;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 Сварщик (электросварочные и газосварочные работы);</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 Повар, кондитер.</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Учащимся в профессиональном училище ежемесячно выплачивается стипендия, обеспечено бесплатное питание, в случае необходимости предоставляется общежитие. Юношам на весь период обучения предоставляется отсрочка от армии. Дети-сироты и дети, оставшиеся без попечения родителей, зачисляются на полное государственное обеспечение.</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3.3.2 Здравоохранение</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Учреждения здравоохранения муниципального образования представлены МУЗ ЦРБ Иркутского района «Оёкская участковая больница» стационаром на 70 коек и поликлиникой на 100 посещений в смену в с. Оёк, а так же фельдшерско-акушерскими пунктами ЦРБ в д. Галки (15 посещений в смену), Жердовка (15 посещений в смену), Коты (15 посещений в смену) и Бутырки (15 посещений в смену). Общая вместимостью фельдшерско – акушерских пунктов поселения составляет 60 посещений в смену.</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lastRenderedPageBreak/>
        <w:t>В д. Жердовка помимо ФАП работает отделение легочного туберкулеза №4 ГУЗ «Иркутский областной противотуберкулезный диспансер» вместимостью 50 койко-мест.</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Аптечная сеть поселения представлена аптечными пунктами в с. Оек (3 шт.) и д. Жердовка (1 шт.). В с. Оёк действует ветеринарный участок - ОГУ ИРСББЖ «Оёкский ветеринарный участок».</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Оёкская участковая больница, а также ФАПы в д. Галки, Коты и Жердовка расположены в зданиях, которые требуют капитального ремонта, а также не соответствуют нормам СанПиН по занимаемой площади и требуют расширения.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3.3.3 Физическая культура и массовый спорт</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 Оёкском муниципальном образовании функционирует творческое объединение «Импульс», в которое входит 2 клубных формирования: «Волонтер» и «Я-лидер».</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Молодежь вовлекается в социально-экономическое и общественно-политическое развитие поселения. Проводится работа по духовно-нравственному, патриотическому и гражданскому воспитанию молодежи.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Важным остается направление по профилактике социально-негативных явлений в молодёжной среде.</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Формирование в молодёжной среде уважительного отношения к традиционным семейным ценностям, поддержка молодой семьи осуществляется путем участия в местных и районных мероприятиях.</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 Оекском МО уделяется особое внимание развитию физкультуры и спорта. На базе Социально-культурного спортивного комплекса Оекского муниципального образования работают следующие клубы по интересам: «Форвард» (футбол), «Олимп» (баскетбол), «Патриот» (волейбол), «Витязь» (гиревой спорт), «Атлет» (атлетизм), «Грация» (гимнастика).</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На территории Оекского МО работает военно-спортивный клуб «Медведь», в котором проводятся занятия по армейскому рукопашному бою.</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 поселении осуществляют деятельность 7 физкультурно-спортивных секций, в которых занимается 192 человек.</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Организация и проведение физкультурно-оздоровительных и спортивно-массовых мероприятий с населением осуществляется на основании утвержденного календарного плана работы.</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bookmarkStart w:id="3" w:name="_Toc496710897"/>
      <w:bookmarkEnd w:id="3"/>
      <w:r w:rsidRPr="00DD4B6C">
        <w:rPr>
          <w:rFonts w:ascii="Tahoma" w:eastAsia="Times New Roman" w:hAnsi="Tahoma" w:cs="Tahoma"/>
          <w:b/>
          <w:bCs/>
          <w:color w:val="2C2C2C"/>
          <w:sz w:val="20"/>
          <w:szCs w:val="20"/>
          <w:lang w:eastAsia="ru-RU"/>
        </w:rPr>
        <w:t>3.3.4 Культура</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 Оекском муниципальном образовании функционирует Муниципальное учреждение «Социально-культурный спортивный комплекс» Оекского муниципального образования (далее - МУ СКСК), в его состав входят клубные формирования, библиотеки, музей, а также спортивные структуры.</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На базе МУ СКСК работает 36 клубных формирований: хореографические, вокальные, театральные, декоративно-прикладного творчества, спортивные. Свою работу осуществляют различные клубы по интересам. Количество самодеятельных коллективов – тринадцать, из них восемь для детей в возрасте до 14 лет, два для молодежи и три для жителей более старшего возраста.</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Библиотечное обслуживание в поселении осуществляют четыре библиотеки: одна расположена в здании Дома культуры села Оек, другие в д. Бутырки и в д. Коты, а также Районная детская библиотека в селе Оек. Читателями библиотек в поселении является 2402 человека. Охват населения составляет 34%. Книжный фонд библиотек по состоянию на 01.01.2017 года составил – 30228 экземпляров.</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Одно из основных направлений - организация социально-культурных мероприятий. Так в 2017 году проведено 487 мероприятия, на которых присутствовало 43750 человек.</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Дополнительное музыкальное образование детей осуществляет музыкальная школа в с. Оек по следующим направлениям: фортепиано, баян, аккордеон, гармонь, а также гитара, домра и флейта. Всего дополнительное музыкальное образование получают 46 учащихся. Учебный процесс ведут 9 преподавателей.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bookmarkStart w:id="4" w:name="_Toc496710898"/>
      <w:bookmarkEnd w:id="4"/>
      <w:r w:rsidRPr="00DD4B6C">
        <w:rPr>
          <w:rFonts w:ascii="Tahoma" w:eastAsia="Times New Roman" w:hAnsi="Tahoma" w:cs="Tahoma"/>
          <w:b/>
          <w:bCs/>
          <w:color w:val="2C2C2C"/>
          <w:sz w:val="20"/>
          <w:szCs w:val="20"/>
          <w:lang w:eastAsia="ru-RU"/>
        </w:rPr>
        <w:t>3.4 Прогнозируемый спрос на услуги объектов социальной инфраструктуры</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xml:space="preserve">В соответствии со стратегией социального развития до 2022 года и на период до 2030 года, согласно Генеральному плану Оекского муниципального образования Иркутского района Иркутской области, долгосрочное развитие Оекского муниципального образования будет сопровождаться ростом </w:t>
      </w:r>
      <w:r w:rsidRPr="00DD4B6C">
        <w:rPr>
          <w:rFonts w:ascii="Tahoma" w:eastAsia="Times New Roman" w:hAnsi="Tahoma" w:cs="Tahoma"/>
          <w:color w:val="2C2C2C"/>
          <w:sz w:val="20"/>
          <w:szCs w:val="20"/>
          <w:lang w:eastAsia="ru-RU"/>
        </w:rPr>
        <w:lastRenderedPageBreak/>
        <w:t>численности населения. Рост численности ожидается: к 2022 году - до 10 тыс. человек, к 2030 - до 16 тыс. человек.</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Согласно Генеральному плану, средняя плотность жилой застройки в границах проекта к расчетному сроку повышается в 1,8 раза (с 155,9 м2/га до 282,1 м2/га), при этом средняя плотность населения в границах жилых кварталовповышается с 10,4 до 11,3 чел./га. На расчетный срок (2030 г.) жилищный фонд Оекского сельского поселения составит 500,0 тыс. м2 общей площади, средняя жилищная обеспеченность принимается в 25 м2 общей площади на одного жителя.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Генеральным планом предлагается значительное расширение участков под учреждения, предприятия обслуживания и физкультурно-спортивные сооружения. Их суммарная площадь увеличивается более чем в 3,4 раза, главным образом за счет формирования общественных центров, строительства больничного комплекса в с. Оек, а также строительства новых спортивных сооружений.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Повышение средней плотности населения в жилой застройке, даже с учетом существенного расширения озелененных территорий, участков объектов культурно-бытового обслуживания и спортивных сооружений, ведет к повышению плотности населения в границах селитебной территории с 8,4 чел./га в 2011 г. до 9,9 чел./га к 2030 г. (в 1,2 раза). Площадь селитебной территории в расчете на одного жителя по проекту сокращается с 1 195,4 м2/чел. в настоящее времядо 1 009,5 м2/чел. к расчетному сроку генерального плана. Это указывает на существенное повышение эффективности использования территории при реализации проекта.</w:t>
      </w:r>
    </w:p>
    <w:p w:rsidR="00DD4B6C" w:rsidRPr="00DD4B6C" w:rsidRDefault="00DD4B6C" w:rsidP="00DD4B6C">
      <w:pPr>
        <w:spacing w:line="240" w:lineRule="auto"/>
        <w:ind w:firstLine="0"/>
        <w:jc w:val="left"/>
        <w:rPr>
          <w:rFonts w:eastAsia="Times New Roman" w:cs="Times New Roman"/>
          <w:sz w:val="24"/>
          <w:szCs w:val="24"/>
          <w:lang w:eastAsia="ru-RU"/>
        </w:rPr>
      </w:pPr>
      <w:r w:rsidRPr="00DD4B6C">
        <w:rPr>
          <w:rFonts w:ascii="Tahoma" w:eastAsia="Times New Roman" w:hAnsi="Tahoma" w:cs="Tahoma"/>
          <w:b/>
          <w:bCs/>
          <w:color w:val="2C2C2C"/>
          <w:sz w:val="20"/>
          <w:szCs w:val="20"/>
          <w:shd w:val="clear" w:color="auto" w:fill="FFFFFF"/>
          <w:lang w:eastAsia="ru-RU"/>
        </w:rPr>
        <w:br/>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3.5 Оценка нормативно – правовой базы, необходимой для функционирования и развития социальной инфраструктуры</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Основы правового регулирования отношений по обеспечению граждан медицинской помощью, образованием, социальной защитой закреплены в Конституции Российской Федерации. В Основном законе страны содержится комплекс социальных норм и гарантий, определяющих в первую очередь базовые принципы формирования социальной инфраструктуры. Предусмотренные ст. 8 Конституции Российской Федерации поддержка конкуренции, признание и равная защита государственной, муниципальной и частной собственности являются конституционной основой для создания и нормального функционирования государственного, муниципального и частного секторов социальной отрасли, конкуренции и свободы выбора при оказании и при получении различного спектра социальных услуг, что создает реальную основу для повышения качества социальной инфраструктуры. Конституция Российской Федерации содержит иные важнейшие положения, составляющие основу регулирования правоотношений социальной сферы. Так, в статье 41 закреплено право каждого на охрану здоровья и медицинскую помощь, статья 43 закрепляет право каждого на образование - важнейшие права, необходимые для полноценного развития современного общества.</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Роль Конституции Российской Федерации в правовом регулировании всех сфер жизни общества, в том числе социальной, заключается в том, что по причине высшей юридической силы Конституции Российской Федерации и ее непосредственного действия на территории всей страны не допускается принятие органами государственной власти и местного самоуправления правовых актов, полностью или частично ей противоречащих.</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Принятые в развитие Конституции Российской Федерации Федеральный закон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Закон № 184-ФЗ) и Федеральный закон от 06.10.2003 № 131-ФЗ «Об общих принципах организации местного самоуправления в Российской Федерации» (далее - Закон № 131 -ФЗ) разграничивают полномочия в области функционирования и развития социальной инфраструктуры между органами государственной власти и органами местного самоуправления.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Так, согласно статье 26.3 Закона № 184-ФЗ к полномочиям органов государственной власти субъекта Российской Федерации относится решение следующих вопросов в социальной сфере:</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xml:space="preserve">- в области образования: организация предоставления общего образования в государственных образовательных организациях субъектов Российской Федерации,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 и обеспечение государственных гарантий реализации прав на получение общедоступного и бесплатного дошкольного образования в </w:t>
      </w:r>
      <w:r w:rsidRPr="00DD4B6C">
        <w:rPr>
          <w:rFonts w:ascii="Tahoma" w:eastAsia="Times New Roman" w:hAnsi="Tahoma" w:cs="Tahoma"/>
          <w:color w:val="2C2C2C"/>
          <w:sz w:val="20"/>
          <w:szCs w:val="20"/>
          <w:lang w:eastAsia="ru-RU"/>
        </w:rPr>
        <w:lastRenderedPageBreak/>
        <w:t>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 организация предоставления дополнительного образования детей в государственных образовательных организациях субъектов Российской Федерации;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в области здравоохранения: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 организация оказания медицинской помощи, предусмотренной законодательством субъекта Российской Федерации для определенных категорий граждан; организация безвозмездного обеспечения донорской кровью и (или) ее компонентами, а также организация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в области социальной защиты: социальная поддержка и социальное обслуживание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социальная поддержка ветеранов труда, лиц, проработавших в тылу в период Великой Отечественной войны 1941 - 1945 годов, семей, имеющих детей (в том числе многодетных семей, одиноких родителей), жертв политических репрессий, малоимущих граждан;</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в области культуры: организация библиотечного обслуживания населения библиотеками субъекта Российской Федерации, комплектования и обеспечения сохранности их библиотечных фондов, создание и поддержка государственных музеев, организация и поддержка учреждений культуры и искусства;</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в области физической культуры и спорта: осуществление региональных и межмуниципальных программ и проектов в области физической культуры и спорта, организация и проведение официальных региональных и межмуниципальных физкультурных, физкультурно</w:t>
      </w:r>
      <w:r w:rsidRPr="00DD4B6C">
        <w:rPr>
          <w:rFonts w:ascii="Tahoma" w:eastAsia="Times New Roman" w:hAnsi="Tahoma" w:cs="Tahoma"/>
          <w:color w:val="2C2C2C"/>
          <w:sz w:val="20"/>
          <w:szCs w:val="20"/>
          <w:lang w:eastAsia="ru-RU"/>
        </w:rPr>
        <w:softHyphen/>
        <w:t>-оздоровительных и спортивных мероприятий, в том числе физкультурных мероприятий и спортивных мероприятий по реализации Всероссийского физкультурно-спортивного комплекса «Готов к труду и обороне» (ГТО), обеспечение подготовки спортивных сборных команд субъекта Российской Федерации.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Значительное число вопросов по обеспечению населения объектами социальной инфраструктуры в соответствии с нормами Закона №131-ФЗ отнесено к вопросам местного значения поселений, городских округов. В частности, к вопросам местного значения поселения в социальной сфере относятся: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организация библиотечного обслуживания населения, комплектование и обеспечение сохранности библиотечных фондов библиотек поселения;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создание условий для организации досуга и обеспечения жителей поселения услугами организаций культуры;</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lastRenderedPageBreak/>
        <w:t>В настоящее время в области социальной инфраструктуры действует ряд профильных федеральных законов, устанавливающих правовое регулирование общественных отношений в определенной сфере. К таким законам относятся: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Федеральный закон от 04.12.2007 № 329-ФЗ «О физической культуре и спорте в Российской Федерации»;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Федеральный закон от 21.11.2011 № 323-ФЗ «Об основах охраны здоровья граждан в Российской Федерации»;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Федеральный закон от 29.12.2012 № 273-ФЗ «Об образовании в Российской Федерации»;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Федеральный закон от 17.07.1999 № 178-ФЗ «О государственной социальной помощи»;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Закон Российской Федерации от 09.10.1992 № 3612-1 «Основы законодательства Российской Федерации о культуре».</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Указанные нормативные правовые акты регулируют общественные отношения, возникающие в связи с реализацией гражданами их прав на образование, на медицинскую помощь, культурную деятельность, а также устанавливают правовые, организационные, экономические и социальные основы оказания государственной социальной помощи нуждающимся гражданам и основы деятельности в области физической культуры и спорта.</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Развитие социальной сферы невозможно без осуществления в нее инвестиций. Правовые акты российского законодательства, регулирующие инвестиции и инвестиционный процесс, направлены на создание благоприятного режима инвестиционной деятельности, в том числе в социальной сфере.</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Гражданский кодекс Российской Федерации предусматривает, что при участии Российской Федерации, субъектов Российской Федерации, муниципальных образований в отношениях, регулируемых гражданским законодательством, они участвуют в таких отношениях на равных началах с иными участниками этих отношений — гражданами и юридическими лицами. К участию же названных субъектов в обороте, как правило, применяются нормы, применимые к участию в обороте юридических лиц (ст. 124 Гражданского кодекса Российской Федерации).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Система нормативно-правовых актов, регулирующих инвестиционную деятельность в России, включает в себя документы, ряд из которых приняты еще в 90-х годах. Это, в частности, Федеральный закон от 25.02.1999 № 39-ФЗ «Об инвестиционной деятельности в Российской Федерации, осуществляемой в форме капитальных вложений», Федеральный закон от 09.07.1999 № 160-ФЗ «Об иностранных инвестициях в Российской Федерации».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Федеральный закон от 25.02.1999 № 39-ФЗ «Об инвестиционной деятельности в Российской Федерации, осуществляемой в форме капитальных вложений» является основополагающим законодательным актом в инвестиционной сфере, который определяет правовые и экономические основы инвестиционной деятельности, осуществляемой в форме капитальных вложений, на территории Российской Федерации, а также устанавливает гарантии равной защиты прав, интересов и имущества субъектов инвестиционной деятельности, осуществляемой в форме капитальных вложений, независимо от форм собственности.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Анализ нормативно-правовой базы, регламентирующей инвестиционную деятельность в социальной сфере Российской Федерации, показывает, что к настоящему времени сложилась определенная система правовых актов, регулирующих общие проблемы (гражданские, бюджетные, таможенные и др. отношения), которые в той или иной мере относятся и к социальной сфере.</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 целях создания благоприятных условий для привлечения частных инвестиций и развития туризма в Иркутской области принят Закон Иркутской области от 7 марта 2012 года № 9-ОЗ (с изменениями на 01.10.14) «Об областной государственной поддержке туризма и туристской деятельности в Иркутской области».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xml:space="preserve">Региональные нормативы градостроительного проектирования Иркутской области утверждены Постановлением Правительства Иркутской области от 30.12.2014 №712-пп. и содержат совокупность расчетных показателей минимально допустимого уровня обеспеченности объектами регионального значения, в том числе в области образования, здравоохранения, физической культуры и спорта и в иных областях, указанным в части 3 статьи 14 Градостроительного кодекса Российской Федерации и расчетных показателей максимально допустимого уровня территориальной доступности таких объектов для населения Иркутской области. а также содержат предельные значения расчетных показателей минимально допустимого уровня обеспеченности объектами местного значения, предусмотренными частями 3 и 4 статьи 29.2 Градостроительного кодекса Российской Федерации, населения муниципальных образований и предельные значения расчетных показателей </w:t>
      </w:r>
      <w:r w:rsidRPr="00DD4B6C">
        <w:rPr>
          <w:rFonts w:ascii="Tahoma" w:eastAsia="Times New Roman" w:hAnsi="Tahoma" w:cs="Tahoma"/>
          <w:color w:val="2C2C2C"/>
          <w:sz w:val="20"/>
          <w:szCs w:val="20"/>
          <w:lang w:eastAsia="ru-RU"/>
        </w:rPr>
        <w:lastRenderedPageBreak/>
        <w:t>максимально допустимого уровня территориальной доступности таких объектов для населения муниципальных образований.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Постановлением Правительства Иркутской области от 02.11.2012 № 607-пп утверждена Схема территориального планирования Иркутской области, в которой определены виды, назначение и наименование объектов регионального значения в области образования, здравоохранения, физической культуры и спорта, в области культуры и социального обслуживания, планируемые для размещения на территории Иркутской области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Мероприятия по строительству, реконструкции объектов социальной инфраструктуры в поселении, включая сведения о видах, назначении и наименованиях планируемых для размещения объектов местного значения муниципального образования, объектов местного значения поселения утверждаются схемой территориального планирования муниципального района, генеральным планом поселения и должны также отражать решения по размещению объектов социальной инфраструктуры, принятые в Схеме территориального планирования Иркутской области.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Таким образом, регулирование вопросов развития и функционирования социальной инфраструктуры осуществляется системой нормативных правовых актов, принятых на федеральном, региональном и местном уровнях в различных областях общественных отношений.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4. МЕРОПРИЯТИЯ ПО РАЗВИТИЮ СЕТИ ОБЪЕКТОВ СОЦИАЛЬНОЙ ИНФРАСТРУКТУРЫ</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 соответствии с п. 5.1 ст. 26 Градостроительного кодекса РФ реализация генерального плана поселения осуществляется (в том числе) путем выполнения мероприятий, которые предусмотрены программами комплексного развития социальной инфраструктуры. В случае принятия представительным органом местного самоуправления поселения предусмотренного ч.6 ст.18 Градостроительного кодекса РФ решения об отсутствии необходимости подготовки его генерального плана, программа комплексного развития социальной инфраструктуры такого поселения разработке и утверждению не подлежит.</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Таким образом, перечень мероприятий по проектированию, строительству и реконструкции объектов социальной инфраструктуры поселения в программе комплексного развития социальной инфраструктуры должен базироваться на решениях генерального плана поселения в части планируемых к строительству объектов местного значения поселения.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Федеральными законами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 6 октября 2003 года № 131-ФЗ «Об общих принципах организации местного самоуправления в Российской Федерации» определены полномочия органов исполнительной власти субъектов Российской Федерации и вопросы местного значения, и полномочия органов местного самоуправления соответственно. На основании установленных полномочий и вопросов местного значения на территории субъектов Российской Федерации и муниципальных образований за счет средств бюджетов соответствующих уровней должна быть создана сеть объектов социальной сферы в различных областях (Таблица 4.1)</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i/>
          <w:iCs/>
          <w:color w:val="2C2C2C"/>
          <w:sz w:val="20"/>
          <w:szCs w:val="20"/>
          <w:lang w:eastAsia="ru-RU"/>
        </w:rPr>
        <w:t>Таблица 4.1 - Распределение обязательств по созданию и содержанию объектов социальной инфраструктуры органами исполнительной власти Российской Федерации и органами местного самоуправления</w:t>
      </w:r>
    </w:p>
    <w:tbl>
      <w:tblPr>
        <w:tblW w:w="757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015"/>
        <w:gridCol w:w="1637"/>
        <w:gridCol w:w="2924"/>
        <w:gridCol w:w="996"/>
      </w:tblGrid>
      <w:tr w:rsidR="00DD4B6C" w:rsidRPr="00DD4B6C" w:rsidTr="00DD4B6C">
        <w:trPr>
          <w:tblCellSpacing w:w="0" w:type="dxa"/>
        </w:trPr>
        <w:tc>
          <w:tcPr>
            <w:tcW w:w="15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Область</w:t>
            </w:r>
          </w:p>
        </w:tc>
        <w:tc>
          <w:tcPr>
            <w:tcW w:w="13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Орган исполнительной власти субъекта РФ</w:t>
            </w:r>
          </w:p>
        </w:tc>
        <w:tc>
          <w:tcPr>
            <w:tcW w:w="21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Муниципальное образование</w:t>
            </w:r>
          </w:p>
        </w:tc>
      </w:tr>
      <w:tr w:rsidR="00DD4B6C" w:rsidRPr="00DD4B6C" w:rsidTr="00DD4B6C">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27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муниципальный</w:t>
            </w:r>
            <w:r w:rsidRPr="00DD4B6C">
              <w:rPr>
                <w:rFonts w:ascii="Tahoma" w:eastAsia="Times New Roman" w:hAnsi="Tahoma" w:cs="Tahoma"/>
                <w:color w:val="2C2C2C"/>
                <w:sz w:val="20"/>
                <w:szCs w:val="20"/>
                <w:lang w:eastAsia="ru-RU"/>
              </w:rPr>
              <w:br/>
              <w:t>район</w:t>
            </w:r>
          </w:p>
        </w:tc>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сельское</w:t>
            </w:r>
            <w:r w:rsidRPr="00DD4B6C">
              <w:rPr>
                <w:rFonts w:ascii="Tahoma" w:eastAsia="Times New Roman" w:hAnsi="Tahoma" w:cs="Tahoma"/>
                <w:color w:val="2C2C2C"/>
                <w:sz w:val="20"/>
                <w:szCs w:val="20"/>
                <w:lang w:eastAsia="ru-RU"/>
              </w:rPr>
              <w:br/>
              <w:t>поселение</w:t>
            </w:r>
          </w:p>
        </w:tc>
      </w:tr>
      <w:tr w:rsidR="00DD4B6C" w:rsidRPr="00DD4B6C" w:rsidTr="00DD4B6C">
        <w:trPr>
          <w:tblCellSpacing w:w="0" w:type="dxa"/>
        </w:trPr>
        <w:tc>
          <w:tcPr>
            <w:tcW w:w="15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Образование</w:t>
            </w:r>
          </w:p>
        </w:tc>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9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r>
      <w:tr w:rsidR="00DD4B6C" w:rsidRPr="00DD4B6C" w:rsidTr="00DD4B6C">
        <w:trPr>
          <w:tblCellSpacing w:w="0" w:type="dxa"/>
        </w:trPr>
        <w:tc>
          <w:tcPr>
            <w:tcW w:w="15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Культура и искусство</w:t>
            </w:r>
          </w:p>
        </w:tc>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9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r>
      <w:tr w:rsidR="00DD4B6C" w:rsidRPr="00DD4B6C" w:rsidTr="00DD4B6C">
        <w:trPr>
          <w:tblCellSpacing w:w="0" w:type="dxa"/>
        </w:trPr>
        <w:tc>
          <w:tcPr>
            <w:tcW w:w="15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Физическая культура и спорт</w:t>
            </w:r>
          </w:p>
        </w:tc>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9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r>
      <w:tr w:rsidR="00DD4B6C" w:rsidRPr="00DD4B6C" w:rsidTr="00DD4B6C">
        <w:trPr>
          <w:tblCellSpacing w:w="0" w:type="dxa"/>
        </w:trPr>
        <w:tc>
          <w:tcPr>
            <w:tcW w:w="15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Здравоохранение</w:t>
            </w:r>
          </w:p>
        </w:tc>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9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r>
      <w:tr w:rsidR="00DD4B6C" w:rsidRPr="00DD4B6C" w:rsidTr="00DD4B6C">
        <w:trPr>
          <w:tblCellSpacing w:w="0" w:type="dxa"/>
        </w:trPr>
        <w:tc>
          <w:tcPr>
            <w:tcW w:w="15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Социальное обслуживание</w:t>
            </w:r>
          </w:p>
        </w:tc>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9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r>
      <w:tr w:rsidR="00DD4B6C" w:rsidRPr="00DD4B6C" w:rsidTr="00DD4B6C">
        <w:trPr>
          <w:tblCellSpacing w:w="0" w:type="dxa"/>
        </w:trPr>
        <w:tc>
          <w:tcPr>
            <w:tcW w:w="15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lastRenderedPageBreak/>
              <w:t>Молодежная политика</w:t>
            </w:r>
          </w:p>
        </w:tc>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9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r>
    </w:tbl>
    <w:p w:rsidR="00DD4B6C" w:rsidRPr="00DD4B6C" w:rsidRDefault="00DD4B6C" w:rsidP="00DD4B6C">
      <w:pPr>
        <w:spacing w:line="240" w:lineRule="auto"/>
        <w:ind w:firstLine="0"/>
        <w:jc w:val="left"/>
        <w:rPr>
          <w:rFonts w:eastAsia="Times New Roman" w:cs="Times New Roman"/>
          <w:sz w:val="24"/>
          <w:szCs w:val="24"/>
          <w:lang w:eastAsia="ru-RU"/>
        </w:rPr>
      </w:pPr>
      <w:r w:rsidRPr="00DD4B6C">
        <w:rPr>
          <w:rFonts w:ascii="Tahoma" w:eastAsia="Times New Roman" w:hAnsi="Tahoma" w:cs="Tahoma"/>
          <w:color w:val="2C2C2C"/>
          <w:sz w:val="20"/>
          <w:szCs w:val="20"/>
          <w:lang w:eastAsia="ru-RU"/>
        </w:rPr>
        <w:br/>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Согласно требованиям к программам комплексного развития социальной инфраструктуры поселений, городских округов (далее - Требования), утвержденных постановлением Правительства Российской Федерации от 1 октября 2015 года № 1050, определен состав, содержание программ комплексного развития социальной инфраструктуры поселений, городских округов, а также закреплены области, в которых должен быть установлен перечень мероприятий по строительству, реконструкции объектов местного значения поселения, городского округа (образование, здравоохранение, физическая культура и массовый спорт, культура).</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 объектам регионального значения в соответствии с федеральным законодательством относятся также объекты социальной инфраструктуры в области социального обслуживания. Мероприятия относительно строительства (реконструкции) объектов регионального значения (в том числе в области здравоохранения и социального обслуживания) в соответствии со ст. 14 Градостроительного кодекса РФ должны содержать в своем составе документы территориального планирования субъектов РФ, в частности, схема территориального планирования Иркутской области.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Расчет объектов социальной инфраструктуры Оекского муниципального образования Иркутского района Иркутской области на расчетный срок представлен в таблице 4.2 .В таблицах 4.3, 4.4, 4.5, 4.6, 4.7, 4.8, 4.9, 4.10, 4.11 представлены расчеты объектов социальной инфраструктуры по деревням.</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Таблица 4.2 Расчет объектов культурно-бытового обслуживания Оекского муниципального образования на расчетный срок.</w:t>
      </w:r>
    </w:p>
    <w:tbl>
      <w:tblPr>
        <w:tblW w:w="9048"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828"/>
        <w:gridCol w:w="1046"/>
        <w:gridCol w:w="902"/>
        <w:gridCol w:w="1339"/>
        <w:gridCol w:w="1402"/>
        <w:gridCol w:w="1521"/>
        <w:gridCol w:w="1266"/>
        <w:gridCol w:w="35"/>
      </w:tblGrid>
      <w:tr w:rsidR="00DD4B6C" w:rsidRPr="00DD4B6C" w:rsidTr="00DD4B6C">
        <w:trPr>
          <w:trHeight w:val="348"/>
          <w:tblCellSpacing w:w="0" w:type="dxa"/>
        </w:trPr>
        <w:tc>
          <w:tcPr>
            <w:tcW w:w="9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Объекты</w:t>
            </w:r>
          </w:p>
        </w:tc>
        <w:tc>
          <w:tcPr>
            <w:tcW w:w="7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Единица измерения</w:t>
            </w:r>
          </w:p>
        </w:tc>
        <w:tc>
          <w:tcPr>
            <w:tcW w:w="6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Норматив на 1000 жителей</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Требуется на население16,0 тыс. чел.</w:t>
            </w:r>
          </w:p>
        </w:tc>
        <w:tc>
          <w:tcPr>
            <w:tcW w:w="6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Существующие сохраняемые объекты</w:t>
            </w:r>
          </w:p>
        </w:tc>
        <w:tc>
          <w:tcPr>
            <w:tcW w:w="6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Дополнительная потребность</w:t>
            </w:r>
          </w:p>
        </w:tc>
        <w:tc>
          <w:tcPr>
            <w:tcW w:w="7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Предложения по размещению</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rHeight w:val="516"/>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rHeight w:val="252"/>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Детские дошкольные учреждения</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56</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896</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173</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821</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2х150, 1х125, 1х120, 1х75, 5х50</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rHeight w:val="252"/>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Общеобразовательные школы</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2 240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929</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1 311</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1х500, 1х400, 1х180, 1х150, 1х120</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Внешкольные учреждения</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224</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174</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2х100</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Стационары</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койка</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13,47</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215</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95</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1х600</w:t>
            </w:r>
            <w:bookmarkStart w:id="5" w:name="_ftnref1"/>
            <w:r w:rsidRPr="00DD4B6C">
              <w:rPr>
                <w:rFonts w:ascii="Tahoma" w:eastAsia="Times New Roman" w:hAnsi="Tahoma" w:cs="Tahoma"/>
                <w:color w:val="2C2C2C"/>
                <w:sz w:val="20"/>
                <w:szCs w:val="20"/>
                <w:lang w:eastAsia="ru-RU"/>
              </w:rPr>
              <w:fldChar w:fldCharType="begin"/>
            </w:r>
            <w:r w:rsidRPr="00DD4B6C">
              <w:rPr>
                <w:rFonts w:ascii="Tahoma" w:eastAsia="Times New Roman" w:hAnsi="Tahoma" w:cs="Tahoma"/>
                <w:color w:val="2C2C2C"/>
                <w:sz w:val="20"/>
                <w:szCs w:val="20"/>
                <w:lang w:eastAsia="ru-RU"/>
              </w:rPr>
              <w:instrText xml:space="preserve"> HYPERLINK "http://oek.su/np_akty/akty_proekty_doc/2535-ob-utverzhdenii-programmy-kompleksnogo-razvitiya-socialnoy-infrastruktury-oekskogo-municipalnogo-obrazovaniya-irkutskogo-rayona-irkutskoy-oblasti-na-period-2018-2030-gg.html" \l "_ftn1" \o "" </w:instrText>
            </w:r>
            <w:r w:rsidRPr="00DD4B6C">
              <w:rPr>
                <w:rFonts w:ascii="Tahoma" w:eastAsia="Times New Roman" w:hAnsi="Tahoma" w:cs="Tahoma"/>
                <w:color w:val="2C2C2C"/>
                <w:sz w:val="20"/>
                <w:szCs w:val="20"/>
                <w:lang w:eastAsia="ru-RU"/>
              </w:rPr>
              <w:fldChar w:fldCharType="separate"/>
            </w:r>
            <w:r w:rsidRPr="00DD4B6C">
              <w:rPr>
                <w:rFonts w:ascii="Tahoma" w:eastAsia="Times New Roman" w:hAnsi="Tahoma" w:cs="Tahoma"/>
                <w:color w:val="44A1C7"/>
                <w:sz w:val="20"/>
                <w:szCs w:val="20"/>
                <w:lang w:eastAsia="ru-RU"/>
              </w:rPr>
              <w:t>[1]</w:t>
            </w:r>
            <w:r w:rsidRPr="00DD4B6C">
              <w:rPr>
                <w:rFonts w:ascii="Tahoma" w:eastAsia="Times New Roman" w:hAnsi="Tahoma" w:cs="Tahoma"/>
                <w:color w:val="2C2C2C"/>
                <w:sz w:val="20"/>
                <w:szCs w:val="20"/>
                <w:lang w:eastAsia="ru-RU"/>
              </w:rPr>
              <w:fldChar w:fldCharType="end"/>
            </w:r>
            <w:bookmarkEnd w:id="5"/>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Поликлиники, амбулатории</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посещение в смену</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18,15</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290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105</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185</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1х100, 1х50, 1х45</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Станция скорой медицинской помощи</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спец. автомобилей</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10 тыс. чел.</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w:t>
            </w:r>
            <w:bookmarkStart w:id="6" w:name="_ftnref2"/>
            <w:r w:rsidRPr="00DD4B6C">
              <w:rPr>
                <w:rFonts w:ascii="Tahoma" w:eastAsia="Times New Roman" w:hAnsi="Tahoma" w:cs="Tahoma"/>
                <w:color w:val="2C2C2C"/>
                <w:sz w:val="20"/>
                <w:szCs w:val="20"/>
                <w:lang w:eastAsia="ru-RU"/>
              </w:rPr>
              <w:fldChar w:fldCharType="begin"/>
            </w:r>
            <w:r w:rsidRPr="00DD4B6C">
              <w:rPr>
                <w:rFonts w:ascii="Tahoma" w:eastAsia="Times New Roman" w:hAnsi="Tahoma" w:cs="Tahoma"/>
                <w:color w:val="2C2C2C"/>
                <w:sz w:val="20"/>
                <w:szCs w:val="20"/>
                <w:lang w:eastAsia="ru-RU"/>
              </w:rPr>
              <w:instrText xml:space="preserve"> HYPERLINK "http://oek.su/np_akty/akty_proekty_doc/2535-ob-utverzhdenii-programmy-kompleksnogo-razvitiya-socialnoy-infrastruktury-oekskogo-municipalnogo-obrazovaniya-irkutskogo-rayona-irkutskoy-oblasti-na-period-2018-2030-gg.html" \l "_ftn2" \o "" </w:instrText>
            </w:r>
            <w:r w:rsidRPr="00DD4B6C">
              <w:rPr>
                <w:rFonts w:ascii="Tahoma" w:eastAsia="Times New Roman" w:hAnsi="Tahoma" w:cs="Tahoma"/>
                <w:color w:val="2C2C2C"/>
                <w:sz w:val="20"/>
                <w:szCs w:val="20"/>
                <w:lang w:eastAsia="ru-RU"/>
              </w:rPr>
              <w:fldChar w:fldCharType="separate"/>
            </w:r>
            <w:r w:rsidRPr="00DD4B6C">
              <w:rPr>
                <w:rFonts w:ascii="Tahoma" w:eastAsia="Times New Roman" w:hAnsi="Tahoma" w:cs="Tahoma"/>
                <w:color w:val="44A1C7"/>
                <w:sz w:val="20"/>
                <w:szCs w:val="20"/>
                <w:lang w:eastAsia="ru-RU"/>
              </w:rPr>
              <w:t>[2]</w:t>
            </w:r>
            <w:r w:rsidRPr="00DD4B6C">
              <w:rPr>
                <w:rFonts w:ascii="Tahoma" w:eastAsia="Times New Roman" w:hAnsi="Tahoma" w:cs="Tahoma"/>
                <w:color w:val="2C2C2C"/>
                <w:sz w:val="20"/>
                <w:szCs w:val="20"/>
                <w:lang w:eastAsia="ru-RU"/>
              </w:rPr>
              <w:fldChar w:fldCharType="end"/>
            </w:r>
            <w:bookmarkEnd w:id="6"/>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1х5</w:t>
            </w:r>
            <w:bookmarkStart w:id="7" w:name="_ftnref3"/>
            <w:r w:rsidRPr="00DD4B6C">
              <w:rPr>
                <w:rFonts w:ascii="Tahoma" w:eastAsia="Times New Roman" w:hAnsi="Tahoma" w:cs="Tahoma"/>
                <w:color w:val="2C2C2C"/>
                <w:sz w:val="20"/>
                <w:szCs w:val="20"/>
                <w:lang w:eastAsia="ru-RU"/>
              </w:rPr>
              <w:fldChar w:fldCharType="begin"/>
            </w:r>
            <w:r w:rsidRPr="00DD4B6C">
              <w:rPr>
                <w:rFonts w:ascii="Tahoma" w:eastAsia="Times New Roman" w:hAnsi="Tahoma" w:cs="Tahoma"/>
                <w:color w:val="2C2C2C"/>
                <w:sz w:val="20"/>
                <w:szCs w:val="20"/>
                <w:lang w:eastAsia="ru-RU"/>
              </w:rPr>
              <w:instrText xml:space="preserve"> HYPERLINK "http://oek.su/np_akty/akty_proekty_doc/2535-ob-utverzhdenii-programmy-kompleksnogo-razvitiya-socialnoy-infrastruktury-oekskogo-municipalnogo-obrazovaniya-irkutskogo-rayona-irkutskoy-oblasti-na-period-2018-2030-gg.html" \l "_ftn3" \o "" </w:instrText>
            </w:r>
            <w:r w:rsidRPr="00DD4B6C">
              <w:rPr>
                <w:rFonts w:ascii="Tahoma" w:eastAsia="Times New Roman" w:hAnsi="Tahoma" w:cs="Tahoma"/>
                <w:color w:val="2C2C2C"/>
                <w:sz w:val="20"/>
                <w:szCs w:val="20"/>
                <w:lang w:eastAsia="ru-RU"/>
              </w:rPr>
              <w:fldChar w:fldCharType="separate"/>
            </w:r>
            <w:r w:rsidRPr="00DD4B6C">
              <w:rPr>
                <w:rFonts w:ascii="Tahoma" w:eastAsia="Times New Roman" w:hAnsi="Tahoma" w:cs="Tahoma"/>
                <w:color w:val="44A1C7"/>
                <w:sz w:val="20"/>
                <w:szCs w:val="20"/>
                <w:lang w:eastAsia="ru-RU"/>
              </w:rPr>
              <w:t>[3]</w:t>
            </w:r>
            <w:r w:rsidRPr="00DD4B6C">
              <w:rPr>
                <w:rFonts w:ascii="Tahoma" w:eastAsia="Times New Roman" w:hAnsi="Tahoma" w:cs="Tahoma"/>
                <w:color w:val="2C2C2C"/>
                <w:sz w:val="20"/>
                <w:szCs w:val="20"/>
                <w:lang w:eastAsia="ru-RU"/>
              </w:rPr>
              <w:fldChar w:fldCharType="end"/>
            </w:r>
            <w:bookmarkEnd w:id="7"/>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Аптеки</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6,2 тыс. чел.</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8</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Клубы</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зрит. 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1 120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720</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 410, 1х380, 1х330, 1х200, 1х150, 2х120</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Библиотеки</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тыс.ед. хранения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80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20,6</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59,4</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1х20, 1х15, 1х11, 1х6, 3х4</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lastRenderedPageBreak/>
              <w:t>Магазины</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м2 торг. площади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300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6 000</w:t>
            </w:r>
            <w:bookmarkStart w:id="8" w:name="_ftnref4"/>
            <w:r w:rsidRPr="00DD4B6C">
              <w:rPr>
                <w:rFonts w:ascii="Tahoma" w:eastAsia="Times New Roman" w:hAnsi="Tahoma" w:cs="Tahoma"/>
                <w:color w:val="2C2C2C"/>
                <w:sz w:val="20"/>
                <w:szCs w:val="20"/>
                <w:lang w:eastAsia="ru-RU"/>
              </w:rPr>
              <w:fldChar w:fldCharType="begin"/>
            </w:r>
            <w:r w:rsidRPr="00DD4B6C">
              <w:rPr>
                <w:rFonts w:ascii="Tahoma" w:eastAsia="Times New Roman" w:hAnsi="Tahoma" w:cs="Tahoma"/>
                <w:color w:val="2C2C2C"/>
                <w:sz w:val="20"/>
                <w:szCs w:val="20"/>
                <w:lang w:eastAsia="ru-RU"/>
              </w:rPr>
              <w:instrText xml:space="preserve"> HYPERLINK "http://oek.su/np_akty/akty_proekty_doc/2535-ob-utverzhdenii-programmy-kompleksnogo-razvitiya-socialnoy-infrastruktury-oekskogo-municipalnogo-obrazovaniya-irkutskogo-rayona-irkutskoy-oblasti-na-period-2018-2030-gg.html" \l "_ftn4" \o "" </w:instrText>
            </w:r>
            <w:r w:rsidRPr="00DD4B6C">
              <w:rPr>
                <w:rFonts w:ascii="Tahoma" w:eastAsia="Times New Roman" w:hAnsi="Tahoma" w:cs="Tahoma"/>
                <w:color w:val="2C2C2C"/>
                <w:sz w:val="20"/>
                <w:szCs w:val="20"/>
                <w:lang w:eastAsia="ru-RU"/>
              </w:rPr>
              <w:fldChar w:fldCharType="separate"/>
            </w:r>
            <w:r w:rsidRPr="00DD4B6C">
              <w:rPr>
                <w:rFonts w:ascii="Tahoma" w:eastAsia="Times New Roman" w:hAnsi="Tahoma" w:cs="Tahoma"/>
                <w:color w:val="44A1C7"/>
                <w:sz w:val="20"/>
                <w:szCs w:val="20"/>
                <w:lang w:eastAsia="ru-RU"/>
              </w:rPr>
              <w:t>[4]</w:t>
            </w:r>
            <w:r w:rsidRPr="00DD4B6C">
              <w:rPr>
                <w:rFonts w:ascii="Tahoma" w:eastAsia="Times New Roman" w:hAnsi="Tahoma" w:cs="Tahoma"/>
                <w:color w:val="2C2C2C"/>
                <w:sz w:val="20"/>
                <w:szCs w:val="20"/>
                <w:lang w:eastAsia="ru-RU"/>
              </w:rPr>
              <w:fldChar w:fldCharType="end"/>
            </w:r>
            <w:bookmarkEnd w:id="8"/>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2 844,3</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3 155,7</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4х200, 6х150, 2х105, 9х100, 5х95, 3х80, 5х50, 4х70, 1х45</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Предприятия общественного питания</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800</w:t>
            </w:r>
            <w:bookmarkStart w:id="9" w:name="_ftnref5"/>
            <w:r w:rsidRPr="00DD4B6C">
              <w:rPr>
                <w:rFonts w:ascii="Tahoma" w:eastAsia="Times New Roman" w:hAnsi="Tahoma" w:cs="Tahoma"/>
                <w:color w:val="2C2C2C"/>
                <w:sz w:val="20"/>
                <w:szCs w:val="20"/>
                <w:lang w:eastAsia="ru-RU"/>
              </w:rPr>
              <w:fldChar w:fldCharType="begin"/>
            </w:r>
            <w:r w:rsidRPr="00DD4B6C">
              <w:rPr>
                <w:rFonts w:ascii="Tahoma" w:eastAsia="Times New Roman" w:hAnsi="Tahoma" w:cs="Tahoma"/>
                <w:color w:val="2C2C2C"/>
                <w:sz w:val="20"/>
                <w:szCs w:val="20"/>
                <w:lang w:eastAsia="ru-RU"/>
              </w:rPr>
              <w:instrText xml:space="preserve"> HYPERLINK "http://oek.su/np_akty/akty_proekty_doc/2535-ob-utverzhdenii-programmy-kompleksnogo-razvitiya-socialnoy-infrastruktury-oekskogo-municipalnogo-obrazovaniya-irkutskogo-rayona-irkutskoy-oblasti-na-period-2018-2030-gg.html" \l "_ftn5" \o "" </w:instrText>
            </w:r>
            <w:r w:rsidRPr="00DD4B6C">
              <w:rPr>
                <w:rFonts w:ascii="Tahoma" w:eastAsia="Times New Roman" w:hAnsi="Tahoma" w:cs="Tahoma"/>
                <w:color w:val="2C2C2C"/>
                <w:sz w:val="20"/>
                <w:szCs w:val="20"/>
                <w:lang w:eastAsia="ru-RU"/>
              </w:rPr>
              <w:fldChar w:fldCharType="separate"/>
            </w:r>
            <w:r w:rsidRPr="00DD4B6C">
              <w:rPr>
                <w:rFonts w:ascii="Tahoma" w:eastAsia="Times New Roman" w:hAnsi="Tahoma" w:cs="Tahoma"/>
                <w:color w:val="44A1C7"/>
                <w:sz w:val="20"/>
                <w:szCs w:val="20"/>
                <w:lang w:eastAsia="ru-RU"/>
              </w:rPr>
              <w:t>[5]</w:t>
            </w:r>
            <w:r w:rsidRPr="00DD4B6C">
              <w:rPr>
                <w:rFonts w:ascii="Tahoma" w:eastAsia="Times New Roman" w:hAnsi="Tahoma" w:cs="Tahoma"/>
                <w:color w:val="2C2C2C"/>
                <w:sz w:val="20"/>
                <w:szCs w:val="20"/>
                <w:lang w:eastAsia="ru-RU"/>
              </w:rPr>
              <w:fldChar w:fldCharType="end"/>
            </w:r>
            <w:bookmarkEnd w:id="9"/>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150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650</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2х20, 1х28, 3х30, 4х26, 1х32, 5х50, 2х58</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Предприятия непосредственного бытового обслуживания</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рабочее 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64</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25</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39</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1х2, 5х3, 1х4, 2х5, 1х8</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Прачечные</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кг белья в смену</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960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960</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2х480</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Химчистки</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кг вещей в смену</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3,5</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56</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56</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2х30</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Отделения связи</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2-6</w:t>
            </w:r>
            <w:r w:rsidRPr="00DD4B6C">
              <w:rPr>
                <w:rFonts w:ascii="Tahoma" w:eastAsia="Times New Roman" w:hAnsi="Tahoma" w:cs="Tahoma"/>
                <w:color w:val="2C2C2C"/>
                <w:sz w:val="20"/>
                <w:szCs w:val="20"/>
                <w:lang w:eastAsia="ru-RU"/>
              </w:rPr>
              <w:br/>
              <w:t>тыс. чел.</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3-8</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2-7</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rHeight w:val="648"/>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Отделения банков</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операцион. 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1-2</w:t>
            </w:r>
            <w:r w:rsidRPr="00DD4B6C">
              <w:rPr>
                <w:rFonts w:ascii="Tahoma" w:eastAsia="Times New Roman" w:hAnsi="Tahoma" w:cs="Tahoma"/>
                <w:color w:val="2C2C2C"/>
                <w:sz w:val="20"/>
                <w:szCs w:val="20"/>
                <w:lang w:eastAsia="ru-RU"/>
              </w:rPr>
              <w:br/>
              <w:t>тыс. чел.</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8-16</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7-15</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3х2</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Спортивные сооружения</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га</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0,7-0,9</w:t>
            </w:r>
          </w:p>
        </w:tc>
        <w:tc>
          <w:tcPr>
            <w:tcW w:w="6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11,2-14,4</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2,7</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8,5-11,7</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1х2,5; 3х2,0; 1х0,9; 2х0,6; 3х0,5;</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Спортивные залы</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м2 площади пола</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60-80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960-1 280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650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310-630</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1х170, 3х150</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Плавательные бассейны</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м2 зеркала воды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20-25</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320-400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320-400</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1х400</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Гостиницы</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96</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96</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1х100</w:t>
            </w:r>
          </w:p>
        </w:tc>
        <w:tc>
          <w:tcPr>
            <w:tcW w:w="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bl>
    <w:bookmarkStart w:id="10" w:name="_ftn1"/>
    <w:p w:rsidR="00DD4B6C" w:rsidRPr="00DD4B6C" w:rsidRDefault="00DD4B6C" w:rsidP="00DD4B6C">
      <w:pPr>
        <w:spacing w:line="240" w:lineRule="auto"/>
        <w:ind w:firstLine="0"/>
        <w:jc w:val="left"/>
        <w:rPr>
          <w:rFonts w:eastAsia="Times New Roman" w:cs="Times New Roman"/>
          <w:sz w:val="24"/>
          <w:szCs w:val="24"/>
          <w:lang w:eastAsia="ru-RU"/>
        </w:rPr>
      </w:pPr>
      <w:r w:rsidRPr="00DD4B6C">
        <w:rPr>
          <w:rFonts w:eastAsia="Times New Roman" w:cs="Times New Roman"/>
          <w:sz w:val="24"/>
          <w:szCs w:val="24"/>
          <w:lang w:eastAsia="ru-RU"/>
        </w:rPr>
        <w:fldChar w:fldCharType="begin"/>
      </w:r>
      <w:r w:rsidRPr="00DD4B6C">
        <w:rPr>
          <w:rFonts w:eastAsia="Times New Roman" w:cs="Times New Roman"/>
          <w:sz w:val="24"/>
          <w:szCs w:val="24"/>
          <w:lang w:eastAsia="ru-RU"/>
        </w:rPr>
        <w:instrText xml:space="preserve"> HYPERLINK "http://oek.su/np_akty/akty_proekty_doc/2535-ob-utverzhdenii-programmy-kompleksnogo-razvitiya-socialnoy-infrastruktury-oekskogo-municipalnogo-obrazovaniya-irkutskogo-rayona-irkutskoy-oblasti-na-period-2018-2030-gg.html" \l "_ftnref1" \o "" </w:instrText>
      </w:r>
      <w:r w:rsidRPr="00DD4B6C">
        <w:rPr>
          <w:rFonts w:eastAsia="Times New Roman" w:cs="Times New Roman"/>
          <w:sz w:val="24"/>
          <w:szCs w:val="24"/>
          <w:lang w:eastAsia="ru-RU"/>
        </w:rPr>
        <w:fldChar w:fldCharType="separate"/>
      </w:r>
      <w:r w:rsidRPr="00DD4B6C">
        <w:rPr>
          <w:rFonts w:ascii="Tahoma" w:eastAsia="Times New Roman" w:hAnsi="Tahoma" w:cs="Tahoma"/>
          <w:color w:val="44A1C7"/>
          <w:sz w:val="20"/>
          <w:szCs w:val="20"/>
          <w:shd w:val="clear" w:color="auto" w:fill="FFFFFF"/>
          <w:lang w:eastAsia="ru-RU"/>
        </w:rPr>
        <w:t>[1]</w:t>
      </w:r>
      <w:r w:rsidRPr="00DD4B6C">
        <w:rPr>
          <w:rFonts w:eastAsia="Times New Roman" w:cs="Times New Roman"/>
          <w:sz w:val="24"/>
          <w:szCs w:val="24"/>
          <w:lang w:eastAsia="ru-RU"/>
        </w:rPr>
        <w:fldChar w:fldCharType="end"/>
      </w:r>
      <w:bookmarkEnd w:id="10"/>
      <w:r w:rsidRPr="00DD4B6C">
        <w:rPr>
          <w:rFonts w:ascii="Tahoma" w:eastAsia="Times New Roman" w:hAnsi="Tahoma" w:cs="Tahoma"/>
          <w:color w:val="2C2C2C"/>
          <w:sz w:val="20"/>
          <w:szCs w:val="20"/>
          <w:shd w:val="clear" w:color="auto" w:fill="FFFFFF"/>
          <w:lang w:eastAsia="ru-RU"/>
        </w:rPr>
        <w:t> в соответствии со Схемой ?территориального планирования Иркутского муниципального района</w:t>
      </w:r>
      <w:r w:rsidRPr="00DD4B6C">
        <w:rPr>
          <w:rFonts w:ascii="Tahoma" w:eastAsia="Times New Roman" w:hAnsi="Tahoma" w:cs="Tahoma"/>
          <w:color w:val="2C2C2C"/>
          <w:sz w:val="20"/>
          <w:szCs w:val="20"/>
          <w:lang w:eastAsia="ru-RU"/>
        </w:rPr>
        <w:br/>
      </w:r>
      <w:bookmarkStart w:id="11" w:name="_ftn2"/>
      <w:r w:rsidRPr="00DD4B6C">
        <w:rPr>
          <w:rFonts w:eastAsia="Times New Roman" w:cs="Times New Roman"/>
          <w:sz w:val="24"/>
          <w:szCs w:val="24"/>
          <w:lang w:eastAsia="ru-RU"/>
        </w:rPr>
        <w:fldChar w:fldCharType="begin"/>
      </w:r>
      <w:r w:rsidRPr="00DD4B6C">
        <w:rPr>
          <w:rFonts w:eastAsia="Times New Roman" w:cs="Times New Roman"/>
          <w:sz w:val="24"/>
          <w:szCs w:val="24"/>
          <w:lang w:eastAsia="ru-RU"/>
        </w:rPr>
        <w:instrText xml:space="preserve"> HYPERLINK "http://oek.su/np_akty/akty_proekty_doc/2535-ob-utverzhdenii-programmy-kompleksnogo-razvitiya-socialnoy-infrastruktury-oekskogo-municipalnogo-obrazovaniya-irkutskogo-rayona-irkutskoy-oblasti-na-period-2018-2030-gg.html" \l "_ftnref2" \o "" </w:instrText>
      </w:r>
      <w:r w:rsidRPr="00DD4B6C">
        <w:rPr>
          <w:rFonts w:eastAsia="Times New Roman" w:cs="Times New Roman"/>
          <w:sz w:val="24"/>
          <w:szCs w:val="24"/>
          <w:lang w:eastAsia="ru-RU"/>
        </w:rPr>
        <w:fldChar w:fldCharType="separate"/>
      </w:r>
      <w:r w:rsidRPr="00DD4B6C">
        <w:rPr>
          <w:rFonts w:ascii="Tahoma" w:eastAsia="Times New Roman" w:hAnsi="Tahoma" w:cs="Tahoma"/>
          <w:color w:val="44A1C7"/>
          <w:sz w:val="20"/>
          <w:szCs w:val="20"/>
          <w:shd w:val="clear" w:color="auto" w:fill="FFFFFF"/>
          <w:lang w:eastAsia="ru-RU"/>
        </w:rPr>
        <w:t>[2]</w:t>
      </w:r>
      <w:r w:rsidRPr="00DD4B6C">
        <w:rPr>
          <w:rFonts w:eastAsia="Times New Roman" w:cs="Times New Roman"/>
          <w:sz w:val="24"/>
          <w:szCs w:val="24"/>
          <w:lang w:eastAsia="ru-RU"/>
        </w:rPr>
        <w:fldChar w:fldCharType="end"/>
      </w:r>
      <w:bookmarkEnd w:id="11"/>
      <w:r w:rsidRPr="00DD4B6C">
        <w:rPr>
          <w:rFonts w:ascii="Tahoma" w:eastAsia="Times New Roman" w:hAnsi="Tahoma" w:cs="Tahoma"/>
          <w:color w:val="2C2C2C"/>
          <w:sz w:val="20"/>
          <w:szCs w:val="20"/>
          <w:shd w:val="clear" w:color="auto" w:fill="FFFFFF"/>
          <w:lang w:eastAsia="ru-RU"/>
        </w:rPr>
        <w:t> в расчете на полную численность населения муниципального образования с учетом временного (20 тыс. чел.)</w:t>
      </w:r>
      <w:r w:rsidRPr="00DD4B6C">
        <w:rPr>
          <w:rFonts w:ascii="Tahoma" w:eastAsia="Times New Roman" w:hAnsi="Tahoma" w:cs="Tahoma"/>
          <w:color w:val="2C2C2C"/>
          <w:sz w:val="20"/>
          <w:szCs w:val="20"/>
          <w:lang w:eastAsia="ru-RU"/>
        </w:rPr>
        <w:br/>
      </w:r>
      <w:bookmarkStart w:id="12" w:name="_ftn3"/>
      <w:r w:rsidRPr="00DD4B6C">
        <w:rPr>
          <w:rFonts w:eastAsia="Times New Roman" w:cs="Times New Roman"/>
          <w:sz w:val="24"/>
          <w:szCs w:val="24"/>
          <w:lang w:eastAsia="ru-RU"/>
        </w:rPr>
        <w:fldChar w:fldCharType="begin"/>
      </w:r>
      <w:r w:rsidRPr="00DD4B6C">
        <w:rPr>
          <w:rFonts w:eastAsia="Times New Roman" w:cs="Times New Roman"/>
          <w:sz w:val="24"/>
          <w:szCs w:val="24"/>
          <w:lang w:eastAsia="ru-RU"/>
        </w:rPr>
        <w:instrText xml:space="preserve"> HYPERLINK "http://oek.su/np_akty/akty_proekty_doc/2535-ob-utverzhdenii-programmy-kompleksnogo-razvitiya-socialnoy-infrastruktury-oekskogo-municipalnogo-obrazovaniya-irkutskogo-rayona-irkutskoy-oblasti-na-period-2018-2030-gg.html" \l "_ftnref3" \o "" </w:instrText>
      </w:r>
      <w:r w:rsidRPr="00DD4B6C">
        <w:rPr>
          <w:rFonts w:eastAsia="Times New Roman" w:cs="Times New Roman"/>
          <w:sz w:val="24"/>
          <w:szCs w:val="24"/>
          <w:lang w:eastAsia="ru-RU"/>
        </w:rPr>
        <w:fldChar w:fldCharType="separate"/>
      </w:r>
      <w:r w:rsidRPr="00DD4B6C">
        <w:rPr>
          <w:rFonts w:ascii="Tahoma" w:eastAsia="Times New Roman" w:hAnsi="Tahoma" w:cs="Tahoma"/>
          <w:color w:val="44A1C7"/>
          <w:sz w:val="20"/>
          <w:szCs w:val="20"/>
          <w:shd w:val="clear" w:color="auto" w:fill="FFFFFF"/>
          <w:lang w:eastAsia="ru-RU"/>
        </w:rPr>
        <w:t>[3]</w:t>
      </w:r>
      <w:r w:rsidRPr="00DD4B6C">
        <w:rPr>
          <w:rFonts w:eastAsia="Times New Roman" w:cs="Times New Roman"/>
          <w:sz w:val="24"/>
          <w:szCs w:val="24"/>
          <w:lang w:eastAsia="ru-RU"/>
        </w:rPr>
        <w:fldChar w:fldCharType="end"/>
      </w:r>
      <w:bookmarkEnd w:id="12"/>
      <w:r w:rsidRPr="00DD4B6C">
        <w:rPr>
          <w:rFonts w:ascii="Tahoma" w:eastAsia="Times New Roman" w:hAnsi="Tahoma" w:cs="Tahoma"/>
          <w:color w:val="2C2C2C"/>
          <w:sz w:val="20"/>
          <w:szCs w:val="20"/>
          <w:shd w:val="clear" w:color="auto" w:fill="FFFFFF"/>
          <w:lang w:eastAsia="ru-RU"/>
        </w:rPr>
        <w:t> в соответствии со Схемой территориального планирования Иркутского муниципального района</w:t>
      </w:r>
      <w:r w:rsidRPr="00DD4B6C">
        <w:rPr>
          <w:rFonts w:ascii="Tahoma" w:eastAsia="Times New Roman" w:hAnsi="Tahoma" w:cs="Tahoma"/>
          <w:color w:val="2C2C2C"/>
          <w:sz w:val="20"/>
          <w:szCs w:val="20"/>
          <w:lang w:eastAsia="ru-RU"/>
        </w:rPr>
        <w:br/>
      </w:r>
      <w:bookmarkStart w:id="13" w:name="_ftn4"/>
      <w:r w:rsidRPr="00DD4B6C">
        <w:rPr>
          <w:rFonts w:eastAsia="Times New Roman" w:cs="Times New Roman"/>
          <w:sz w:val="24"/>
          <w:szCs w:val="24"/>
          <w:lang w:eastAsia="ru-RU"/>
        </w:rPr>
        <w:fldChar w:fldCharType="begin"/>
      </w:r>
      <w:r w:rsidRPr="00DD4B6C">
        <w:rPr>
          <w:rFonts w:eastAsia="Times New Roman" w:cs="Times New Roman"/>
          <w:sz w:val="24"/>
          <w:szCs w:val="24"/>
          <w:lang w:eastAsia="ru-RU"/>
        </w:rPr>
        <w:instrText xml:space="preserve"> HYPERLINK "http://oek.su/np_akty/akty_proekty_doc/2535-ob-utverzhdenii-programmy-kompleksnogo-razvitiya-socialnoy-infrastruktury-oekskogo-municipalnogo-obrazovaniya-irkutskogo-rayona-irkutskoy-oblasti-na-period-2018-2030-gg.html" \l "_ftnref4" \o "" </w:instrText>
      </w:r>
      <w:r w:rsidRPr="00DD4B6C">
        <w:rPr>
          <w:rFonts w:eastAsia="Times New Roman" w:cs="Times New Roman"/>
          <w:sz w:val="24"/>
          <w:szCs w:val="24"/>
          <w:lang w:eastAsia="ru-RU"/>
        </w:rPr>
        <w:fldChar w:fldCharType="separate"/>
      </w:r>
      <w:r w:rsidRPr="00DD4B6C">
        <w:rPr>
          <w:rFonts w:ascii="Tahoma" w:eastAsia="Times New Roman" w:hAnsi="Tahoma" w:cs="Tahoma"/>
          <w:color w:val="44A1C7"/>
          <w:sz w:val="20"/>
          <w:szCs w:val="20"/>
          <w:shd w:val="clear" w:color="auto" w:fill="FFFFFF"/>
          <w:lang w:eastAsia="ru-RU"/>
        </w:rPr>
        <w:t>[4]</w:t>
      </w:r>
      <w:r w:rsidRPr="00DD4B6C">
        <w:rPr>
          <w:rFonts w:eastAsia="Times New Roman" w:cs="Times New Roman"/>
          <w:sz w:val="24"/>
          <w:szCs w:val="24"/>
          <w:lang w:eastAsia="ru-RU"/>
        </w:rPr>
        <w:fldChar w:fldCharType="end"/>
      </w:r>
      <w:bookmarkEnd w:id="13"/>
      <w:r w:rsidRPr="00DD4B6C">
        <w:rPr>
          <w:rFonts w:ascii="Tahoma" w:eastAsia="Times New Roman" w:hAnsi="Tahoma" w:cs="Tahoma"/>
          <w:color w:val="2C2C2C"/>
          <w:sz w:val="20"/>
          <w:szCs w:val="20"/>
          <w:shd w:val="clear" w:color="auto" w:fill="FFFFFF"/>
          <w:lang w:eastAsia="ru-RU"/>
        </w:rPr>
        <w:t> в расчете на полную численность населения муниципального образования с учетом временного (20 тыс. чел.)</w:t>
      </w:r>
      <w:r w:rsidRPr="00DD4B6C">
        <w:rPr>
          <w:rFonts w:ascii="Tahoma" w:eastAsia="Times New Roman" w:hAnsi="Tahoma" w:cs="Tahoma"/>
          <w:color w:val="2C2C2C"/>
          <w:sz w:val="20"/>
          <w:szCs w:val="20"/>
          <w:lang w:eastAsia="ru-RU"/>
        </w:rPr>
        <w:br/>
      </w:r>
      <w:bookmarkStart w:id="14" w:name="_ftn5"/>
      <w:r w:rsidRPr="00DD4B6C">
        <w:rPr>
          <w:rFonts w:eastAsia="Times New Roman" w:cs="Times New Roman"/>
          <w:sz w:val="24"/>
          <w:szCs w:val="24"/>
          <w:lang w:eastAsia="ru-RU"/>
        </w:rPr>
        <w:fldChar w:fldCharType="begin"/>
      </w:r>
      <w:r w:rsidRPr="00DD4B6C">
        <w:rPr>
          <w:rFonts w:eastAsia="Times New Roman" w:cs="Times New Roman"/>
          <w:sz w:val="24"/>
          <w:szCs w:val="24"/>
          <w:lang w:eastAsia="ru-RU"/>
        </w:rPr>
        <w:instrText xml:space="preserve"> HYPERLINK "http://oek.su/np_akty/akty_proekty_doc/2535-ob-utverzhdenii-programmy-kompleksnogo-razvitiya-socialnoy-infrastruktury-oekskogo-municipalnogo-obrazovaniya-irkutskogo-rayona-irkutskoy-oblasti-na-period-2018-2030-gg.html" \l "_ftnref5" \o "" </w:instrText>
      </w:r>
      <w:r w:rsidRPr="00DD4B6C">
        <w:rPr>
          <w:rFonts w:eastAsia="Times New Roman" w:cs="Times New Roman"/>
          <w:sz w:val="24"/>
          <w:szCs w:val="24"/>
          <w:lang w:eastAsia="ru-RU"/>
        </w:rPr>
        <w:fldChar w:fldCharType="separate"/>
      </w:r>
      <w:r w:rsidRPr="00DD4B6C">
        <w:rPr>
          <w:rFonts w:ascii="Tahoma" w:eastAsia="Times New Roman" w:hAnsi="Tahoma" w:cs="Tahoma"/>
          <w:color w:val="44A1C7"/>
          <w:sz w:val="20"/>
          <w:szCs w:val="20"/>
          <w:shd w:val="clear" w:color="auto" w:fill="FFFFFF"/>
          <w:lang w:eastAsia="ru-RU"/>
        </w:rPr>
        <w:t>[5]</w:t>
      </w:r>
      <w:r w:rsidRPr="00DD4B6C">
        <w:rPr>
          <w:rFonts w:eastAsia="Times New Roman" w:cs="Times New Roman"/>
          <w:sz w:val="24"/>
          <w:szCs w:val="24"/>
          <w:lang w:eastAsia="ru-RU"/>
        </w:rPr>
        <w:fldChar w:fldCharType="end"/>
      </w:r>
      <w:bookmarkEnd w:id="14"/>
      <w:r w:rsidRPr="00DD4B6C">
        <w:rPr>
          <w:rFonts w:ascii="Tahoma" w:eastAsia="Times New Roman" w:hAnsi="Tahoma" w:cs="Tahoma"/>
          <w:color w:val="2C2C2C"/>
          <w:sz w:val="20"/>
          <w:szCs w:val="20"/>
          <w:shd w:val="clear" w:color="auto" w:fill="FFFFFF"/>
          <w:lang w:eastAsia="ru-RU"/>
        </w:rPr>
        <w:t> в расчете на полную численность населения муниципального образования с учетом временного (20 тыс. чел.)</w:t>
      </w:r>
      <w:r w:rsidRPr="00DD4B6C">
        <w:rPr>
          <w:rFonts w:ascii="Tahoma" w:eastAsia="Times New Roman" w:hAnsi="Tahoma" w:cs="Tahoma"/>
          <w:color w:val="2C2C2C"/>
          <w:sz w:val="20"/>
          <w:szCs w:val="20"/>
          <w:lang w:eastAsia="ru-RU"/>
        </w:rPr>
        <w:br/>
      </w:r>
      <w:r w:rsidRPr="00DD4B6C">
        <w:rPr>
          <w:rFonts w:ascii="Tahoma" w:eastAsia="Times New Roman" w:hAnsi="Tahoma" w:cs="Tahoma"/>
          <w:color w:val="2C2C2C"/>
          <w:sz w:val="20"/>
          <w:szCs w:val="20"/>
          <w:lang w:eastAsia="ru-RU"/>
        </w:rPr>
        <w:br/>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Таблица 4.3 Размещение объектов культурно-бытового обслуживания с. Оек на расчетный срок</w:t>
      </w:r>
    </w:p>
    <w:tbl>
      <w:tblPr>
        <w:tblW w:w="9444"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155"/>
        <w:gridCol w:w="1230"/>
        <w:gridCol w:w="1060"/>
        <w:gridCol w:w="1260"/>
        <w:gridCol w:w="1651"/>
        <w:gridCol w:w="1791"/>
        <w:gridCol w:w="1490"/>
      </w:tblGrid>
      <w:tr w:rsidR="00DD4B6C" w:rsidRPr="00DD4B6C" w:rsidTr="00DD4B6C">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Объекты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Единица измерения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Норматив на 1000 жителей</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Требуется на постоянное население7 тыс. чел.</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Существующие сохраняемые объекты</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Дополнительная потребность</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Предложения по размещению</w:t>
            </w:r>
          </w:p>
        </w:tc>
      </w:tr>
      <w:tr w:rsidR="00DD4B6C" w:rsidRPr="00DD4B6C" w:rsidTr="00DD4B6C">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Дошкольные образовательные учреждения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56</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375</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75</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2х150</w:t>
            </w:r>
          </w:p>
        </w:tc>
      </w:tr>
      <w:tr w:rsidR="00DD4B6C" w:rsidRPr="00DD4B6C" w:rsidTr="00DD4B6C">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Общеобразовательные школы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938</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618</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320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1х500</w:t>
            </w:r>
          </w:p>
        </w:tc>
      </w:tr>
      <w:tr w:rsidR="00DD4B6C" w:rsidRPr="00DD4B6C" w:rsidTr="00DD4B6C">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Внешкольные учреждения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224</w:t>
            </w:r>
            <w:hyperlink r:id="rId5" w:anchor="_ftn1" w:history="1">
              <w:r w:rsidRPr="00DD4B6C">
                <w:rPr>
                  <w:rFonts w:ascii="Tahoma" w:eastAsia="Times New Roman" w:hAnsi="Tahoma" w:cs="Tahoma"/>
                  <w:color w:val="44A1C7"/>
                  <w:sz w:val="20"/>
                  <w:szCs w:val="20"/>
                  <w:lang w:eastAsia="ru-RU"/>
                </w:rPr>
                <w:t>[1]</w:t>
              </w:r>
            </w:hyperlink>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174</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2х100</w:t>
            </w:r>
          </w:p>
        </w:tc>
      </w:tr>
      <w:tr w:rsidR="00DD4B6C" w:rsidRPr="00DD4B6C" w:rsidTr="00DD4B6C">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Стационары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койка</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13,47</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215</w:t>
            </w:r>
            <w:hyperlink r:id="rId6" w:anchor="_ftn2" w:history="1">
              <w:r w:rsidRPr="00DD4B6C">
                <w:rPr>
                  <w:rFonts w:ascii="Tahoma" w:eastAsia="Times New Roman" w:hAnsi="Tahoma" w:cs="Tahoma"/>
                  <w:color w:val="44A1C7"/>
                  <w:sz w:val="20"/>
                  <w:szCs w:val="20"/>
                  <w:lang w:eastAsia="ru-RU"/>
                </w:rPr>
                <w:t>[2]</w:t>
              </w:r>
            </w:hyperlink>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145</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1х600</w:t>
            </w:r>
            <w:hyperlink r:id="rId7" w:anchor="_ftn3" w:history="1">
              <w:r w:rsidRPr="00DD4B6C">
                <w:rPr>
                  <w:rFonts w:ascii="Tahoma" w:eastAsia="Times New Roman" w:hAnsi="Tahoma" w:cs="Tahoma"/>
                  <w:color w:val="44A1C7"/>
                  <w:sz w:val="20"/>
                  <w:szCs w:val="20"/>
                  <w:lang w:eastAsia="ru-RU"/>
                </w:rPr>
                <w:t>[3]</w:t>
              </w:r>
            </w:hyperlink>
          </w:p>
        </w:tc>
      </w:tr>
      <w:tr w:rsidR="00DD4B6C" w:rsidRPr="00DD4B6C" w:rsidTr="00DD4B6C">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lastRenderedPageBreak/>
              <w:t>Поликлиники, амбулатории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посещение в смену</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18,15</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122</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62</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1х100</w:t>
            </w:r>
          </w:p>
        </w:tc>
      </w:tr>
      <w:tr w:rsidR="00DD4B6C" w:rsidRPr="00DD4B6C" w:rsidTr="00DD4B6C">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Станция скорой медицинской помощи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спец. автомобилей</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10 тыс. чел.</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w:t>
            </w:r>
            <w:hyperlink r:id="rId8" w:anchor="_ftn4" w:history="1">
              <w:r w:rsidRPr="00DD4B6C">
                <w:rPr>
                  <w:rFonts w:ascii="Tahoma" w:eastAsia="Times New Roman" w:hAnsi="Tahoma" w:cs="Tahoma"/>
                  <w:color w:val="44A1C7"/>
                  <w:sz w:val="20"/>
                  <w:szCs w:val="20"/>
                  <w:lang w:eastAsia="ru-RU"/>
                </w:rPr>
                <w:t>[4]</w:t>
              </w:r>
            </w:hyperlink>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1х5</w:t>
            </w:r>
            <w:hyperlink r:id="rId9" w:anchor="_ftn5" w:history="1">
              <w:r w:rsidRPr="00DD4B6C">
                <w:rPr>
                  <w:rFonts w:ascii="Tahoma" w:eastAsia="Times New Roman" w:hAnsi="Tahoma" w:cs="Tahoma"/>
                  <w:color w:val="44A1C7"/>
                  <w:sz w:val="20"/>
                  <w:szCs w:val="20"/>
                  <w:lang w:eastAsia="ru-RU"/>
                </w:rPr>
                <w:t>[5]</w:t>
              </w:r>
            </w:hyperlink>
          </w:p>
        </w:tc>
      </w:tr>
      <w:tr w:rsidR="00DD4B6C" w:rsidRPr="00DD4B6C" w:rsidTr="00DD4B6C">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Аптеки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6,2 тыс. чел.</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r>
      <w:tr w:rsidR="00DD4B6C" w:rsidRPr="00DD4B6C" w:rsidTr="00DD4B6C">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Клубы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зрит. 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670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270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1х380</w:t>
            </w:r>
          </w:p>
        </w:tc>
      </w:tr>
      <w:tr w:rsidR="00DD4B6C" w:rsidRPr="00DD4B6C" w:rsidTr="00DD4B6C">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Библиотеки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тыс.ед. хранения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33,5</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20,6</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12,9</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1х20</w:t>
            </w:r>
          </w:p>
        </w:tc>
      </w:tr>
      <w:tr w:rsidR="00DD4B6C" w:rsidRPr="00DD4B6C" w:rsidTr="00DD4B6C">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Магазины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м2 торг. площади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300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2 430</w:t>
            </w:r>
            <w:bookmarkStart w:id="15" w:name="_ftnref6"/>
            <w:r w:rsidRPr="00DD4B6C">
              <w:rPr>
                <w:rFonts w:ascii="Tahoma" w:eastAsia="Times New Roman" w:hAnsi="Tahoma" w:cs="Tahoma"/>
                <w:color w:val="2C2C2C"/>
                <w:sz w:val="20"/>
                <w:szCs w:val="20"/>
                <w:lang w:eastAsia="ru-RU"/>
              </w:rPr>
              <w:fldChar w:fldCharType="begin"/>
            </w:r>
            <w:r w:rsidRPr="00DD4B6C">
              <w:rPr>
                <w:rFonts w:ascii="Tahoma" w:eastAsia="Times New Roman" w:hAnsi="Tahoma" w:cs="Tahoma"/>
                <w:color w:val="2C2C2C"/>
                <w:sz w:val="20"/>
                <w:szCs w:val="20"/>
                <w:lang w:eastAsia="ru-RU"/>
              </w:rPr>
              <w:instrText xml:space="preserve"> HYPERLINK "http://oek.su/np_akty/akty_proekty_doc/2535-ob-utverzhdenii-programmy-kompleksnogo-razvitiya-socialnoy-infrastruktury-oekskogo-municipalnogo-obrazovaniya-irkutskogo-rayona-irkutskoy-oblasti-na-period-2018-2030-gg.html" \l "_ftn6" \o "" </w:instrText>
            </w:r>
            <w:r w:rsidRPr="00DD4B6C">
              <w:rPr>
                <w:rFonts w:ascii="Tahoma" w:eastAsia="Times New Roman" w:hAnsi="Tahoma" w:cs="Tahoma"/>
                <w:color w:val="2C2C2C"/>
                <w:sz w:val="20"/>
                <w:szCs w:val="20"/>
                <w:lang w:eastAsia="ru-RU"/>
              </w:rPr>
              <w:fldChar w:fldCharType="separate"/>
            </w:r>
            <w:r w:rsidRPr="00DD4B6C">
              <w:rPr>
                <w:rFonts w:ascii="Tahoma" w:eastAsia="Times New Roman" w:hAnsi="Tahoma" w:cs="Tahoma"/>
                <w:color w:val="44A1C7"/>
                <w:sz w:val="20"/>
                <w:szCs w:val="20"/>
                <w:lang w:eastAsia="ru-RU"/>
              </w:rPr>
              <w:t>[6]</w:t>
            </w:r>
            <w:r w:rsidRPr="00DD4B6C">
              <w:rPr>
                <w:rFonts w:ascii="Tahoma" w:eastAsia="Times New Roman" w:hAnsi="Tahoma" w:cs="Tahoma"/>
                <w:color w:val="2C2C2C"/>
                <w:sz w:val="20"/>
                <w:szCs w:val="20"/>
                <w:lang w:eastAsia="ru-RU"/>
              </w:rPr>
              <w:fldChar w:fldCharType="end"/>
            </w:r>
            <w:bookmarkEnd w:id="15"/>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1 094,0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1 336</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4х200, 3х150, 1х100</w:t>
            </w:r>
          </w:p>
        </w:tc>
      </w:tr>
      <w:tr w:rsidR="00DD4B6C" w:rsidRPr="00DD4B6C" w:rsidTr="00DD4B6C">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Предприятия общественного питания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324</w:t>
            </w:r>
            <w:bookmarkStart w:id="16" w:name="_ftnref7"/>
            <w:r w:rsidRPr="00DD4B6C">
              <w:rPr>
                <w:rFonts w:ascii="Tahoma" w:eastAsia="Times New Roman" w:hAnsi="Tahoma" w:cs="Tahoma"/>
                <w:color w:val="2C2C2C"/>
                <w:sz w:val="20"/>
                <w:szCs w:val="20"/>
                <w:lang w:eastAsia="ru-RU"/>
              </w:rPr>
              <w:fldChar w:fldCharType="begin"/>
            </w:r>
            <w:r w:rsidRPr="00DD4B6C">
              <w:rPr>
                <w:rFonts w:ascii="Tahoma" w:eastAsia="Times New Roman" w:hAnsi="Tahoma" w:cs="Tahoma"/>
                <w:color w:val="2C2C2C"/>
                <w:sz w:val="20"/>
                <w:szCs w:val="20"/>
                <w:lang w:eastAsia="ru-RU"/>
              </w:rPr>
              <w:instrText xml:space="preserve"> HYPERLINK "http://oek.su/np_akty/akty_proekty_doc/2535-ob-utverzhdenii-programmy-kompleksnogo-razvitiya-socialnoy-infrastruktury-oekskogo-municipalnogo-obrazovaniya-irkutskogo-rayona-irkutskoy-oblasti-na-period-2018-2030-gg.html" \l "_ftn7" \o "" </w:instrText>
            </w:r>
            <w:r w:rsidRPr="00DD4B6C">
              <w:rPr>
                <w:rFonts w:ascii="Tahoma" w:eastAsia="Times New Roman" w:hAnsi="Tahoma" w:cs="Tahoma"/>
                <w:color w:val="2C2C2C"/>
                <w:sz w:val="20"/>
                <w:szCs w:val="20"/>
                <w:lang w:eastAsia="ru-RU"/>
              </w:rPr>
              <w:fldChar w:fldCharType="separate"/>
            </w:r>
            <w:r w:rsidRPr="00DD4B6C">
              <w:rPr>
                <w:rFonts w:ascii="Tahoma" w:eastAsia="Times New Roman" w:hAnsi="Tahoma" w:cs="Tahoma"/>
                <w:color w:val="44A1C7"/>
                <w:sz w:val="20"/>
                <w:szCs w:val="20"/>
                <w:lang w:eastAsia="ru-RU"/>
              </w:rPr>
              <w:t>[7]</w:t>
            </w:r>
            <w:r w:rsidRPr="00DD4B6C">
              <w:rPr>
                <w:rFonts w:ascii="Tahoma" w:eastAsia="Times New Roman" w:hAnsi="Tahoma" w:cs="Tahoma"/>
                <w:color w:val="2C2C2C"/>
                <w:sz w:val="20"/>
                <w:szCs w:val="20"/>
                <w:lang w:eastAsia="ru-RU"/>
              </w:rPr>
              <w:fldChar w:fldCharType="end"/>
            </w:r>
            <w:bookmarkEnd w:id="16"/>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150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174</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3х50, 1х30</w:t>
            </w:r>
          </w:p>
        </w:tc>
      </w:tr>
      <w:tr w:rsidR="00DD4B6C" w:rsidRPr="00DD4B6C" w:rsidTr="00DD4B6C">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Предприятия непосредственного бытового обслуживания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рабочее 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25</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1х2</w:t>
            </w:r>
          </w:p>
        </w:tc>
      </w:tr>
      <w:tr w:rsidR="00DD4B6C" w:rsidRPr="00DD4B6C" w:rsidTr="00DD4B6C">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Прачечные</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кг белья в смену</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960</w:t>
            </w:r>
            <w:bookmarkStart w:id="17" w:name="_ftnref8"/>
            <w:r w:rsidRPr="00DD4B6C">
              <w:rPr>
                <w:rFonts w:ascii="Tahoma" w:eastAsia="Times New Roman" w:hAnsi="Tahoma" w:cs="Tahoma"/>
                <w:color w:val="2C2C2C"/>
                <w:sz w:val="20"/>
                <w:szCs w:val="20"/>
                <w:lang w:eastAsia="ru-RU"/>
              </w:rPr>
              <w:fldChar w:fldCharType="begin"/>
            </w:r>
            <w:r w:rsidRPr="00DD4B6C">
              <w:rPr>
                <w:rFonts w:ascii="Tahoma" w:eastAsia="Times New Roman" w:hAnsi="Tahoma" w:cs="Tahoma"/>
                <w:color w:val="2C2C2C"/>
                <w:sz w:val="20"/>
                <w:szCs w:val="20"/>
                <w:lang w:eastAsia="ru-RU"/>
              </w:rPr>
              <w:instrText xml:space="preserve"> HYPERLINK "http://oek.su/np_akty/akty_proekty_doc/2535-ob-utverzhdenii-programmy-kompleksnogo-razvitiya-socialnoy-infrastruktury-oekskogo-municipalnogo-obrazovaniya-irkutskogo-rayona-irkutskoy-oblasti-na-period-2018-2030-gg.html" \l "_ftn8" \o "" </w:instrText>
            </w:r>
            <w:r w:rsidRPr="00DD4B6C">
              <w:rPr>
                <w:rFonts w:ascii="Tahoma" w:eastAsia="Times New Roman" w:hAnsi="Tahoma" w:cs="Tahoma"/>
                <w:color w:val="2C2C2C"/>
                <w:sz w:val="20"/>
                <w:szCs w:val="20"/>
                <w:lang w:eastAsia="ru-RU"/>
              </w:rPr>
              <w:fldChar w:fldCharType="separate"/>
            </w:r>
            <w:r w:rsidRPr="00DD4B6C">
              <w:rPr>
                <w:rFonts w:ascii="Tahoma" w:eastAsia="Times New Roman" w:hAnsi="Tahoma" w:cs="Tahoma"/>
                <w:color w:val="44A1C7"/>
                <w:sz w:val="20"/>
                <w:szCs w:val="20"/>
                <w:lang w:eastAsia="ru-RU"/>
              </w:rPr>
              <w:t>[8]</w:t>
            </w:r>
            <w:r w:rsidRPr="00DD4B6C">
              <w:rPr>
                <w:rFonts w:ascii="Tahoma" w:eastAsia="Times New Roman" w:hAnsi="Tahoma" w:cs="Tahoma"/>
                <w:color w:val="2C2C2C"/>
                <w:sz w:val="20"/>
                <w:szCs w:val="20"/>
                <w:lang w:eastAsia="ru-RU"/>
              </w:rPr>
              <w:fldChar w:fldCharType="end"/>
            </w:r>
            <w:bookmarkEnd w:id="17"/>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960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2х480</w:t>
            </w:r>
          </w:p>
        </w:tc>
      </w:tr>
      <w:tr w:rsidR="00DD4B6C" w:rsidRPr="00DD4B6C" w:rsidTr="00DD4B6C">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Химчистки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кг вещей в смену</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3,5</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56</w:t>
            </w:r>
            <w:bookmarkStart w:id="18" w:name="_ftnref9"/>
            <w:r w:rsidRPr="00DD4B6C">
              <w:rPr>
                <w:rFonts w:ascii="Tahoma" w:eastAsia="Times New Roman" w:hAnsi="Tahoma" w:cs="Tahoma"/>
                <w:color w:val="2C2C2C"/>
                <w:sz w:val="20"/>
                <w:szCs w:val="20"/>
                <w:lang w:eastAsia="ru-RU"/>
              </w:rPr>
              <w:fldChar w:fldCharType="begin"/>
            </w:r>
            <w:r w:rsidRPr="00DD4B6C">
              <w:rPr>
                <w:rFonts w:ascii="Tahoma" w:eastAsia="Times New Roman" w:hAnsi="Tahoma" w:cs="Tahoma"/>
                <w:color w:val="2C2C2C"/>
                <w:sz w:val="20"/>
                <w:szCs w:val="20"/>
                <w:lang w:eastAsia="ru-RU"/>
              </w:rPr>
              <w:instrText xml:space="preserve"> HYPERLINK "http://oek.su/np_akty/akty_proekty_doc/2535-ob-utverzhdenii-programmy-kompleksnogo-razvitiya-socialnoy-infrastruktury-oekskogo-municipalnogo-obrazovaniya-irkutskogo-rayona-irkutskoy-oblasti-na-period-2018-2030-gg.html" \l "_ftn9" \o "" </w:instrText>
            </w:r>
            <w:r w:rsidRPr="00DD4B6C">
              <w:rPr>
                <w:rFonts w:ascii="Tahoma" w:eastAsia="Times New Roman" w:hAnsi="Tahoma" w:cs="Tahoma"/>
                <w:color w:val="2C2C2C"/>
                <w:sz w:val="20"/>
                <w:szCs w:val="20"/>
                <w:lang w:eastAsia="ru-RU"/>
              </w:rPr>
              <w:fldChar w:fldCharType="separate"/>
            </w:r>
            <w:r w:rsidRPr="00DD4B6C">
              <w:rPr>
                <w:rFonts w:ascii="Tahoma" w:eastAsia="Times New Roman" w:hAnsi="Tahoma" w:cs="Tahoma"/>
                <w:color w:val="44A1C7"/>
                <w:sz w:val="20"/>
                <w:szCs w:val="20"/>
                <w:lang w:eastAsia="ru-RU"/>
              </w:rPr>
              <w:t>[9]</w:t>
            </w:r>
            <w:r w:rsidRPr="00DD4B6C">
              <w:rPr>
                <w:rFonts w:ascii="Tahoma" w:eastAsia="Times New Roman" w:hAnsi="Tahoma" w:cs="Tahoma"/>
                <w:color w:val="2C2C2C"/>
                <w:sz w:val="20"/>
                <w:szCs w:val="20"/>
                <w:lang w:eastAsia="ru-RU"/>
              </w:rPr>
              <w:fldChar w:fldCharType="end"/>
            </w:r>
            <w:bookmarkEnd w:id="18"/>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56</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2х30</w:t>
            </w:r>
          </w:p>
        </w:tc>
      </w:tr>
      <w:tr w:rsidR="00DD4B6C" w:rsidRPr="00DD4B6C" w:rsidTr="00DD4B6C">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Отделения связи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2-6</w:t>
            </w:r>
            <w:r w:rsidRPr="00DD4B6C">
              <w:rPr>
                <w:rFonts w:ascii="Tahoma" w:eastAsia="Times New Roman" w:hAnsi="Tahoma" w:cs="Tahoma"/>
                <w:color w:val="2C2C2C"/>
                <w:sz w:val="20"/>
                <w:szCs w:val="20"/>
                <w:lang w:eastAsia="ru-RU"/>
              </w:rPr>
              <w:br/>
              <w:t>тыс. чел.</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1-3</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w:t>
            </w:r>
          </w:p>
        </w:tc>
      </w:tr>
      <w:tr w:rsidR="00DD4B6C" w:rsidRPr="00DD4B6C" w:rsidTr="00DD4B6C">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Отделения банков</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операцион. 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1-2</w:t>
            </w:r>
            <w:r w:rsidRPr="00DD4B6C">
              <w:rPr>
                <w:rFonts w:ascii="Tahoma" w:eastAsia="Times New Roman" w:hAnsi="Tahoma" w:cs="Tahoma"/>
                <w:color w:val="2C2C2C"/>
                <w:sz w:val="20"/>
                <w:szCs w:val="20"/>
                <w:lang w:eastAsia="ru-RU"/>
              </w:rPr>
              <w:br/>
              <w:t>тыс. чел.</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w:t>
            </w:r>
          </w:p>
        </w:tc>
      </w:tr>
      <w:tr w:rsidR="00DD4B6C" w:rsidRPr="00DD4B6C" w:rsidTr="00DD4B6C">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Спортивные сооружения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га</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0,7-0,9</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4,7-6,0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2,0-3,3</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1х2; 1х2,5</w:t>
            </w:r>
          </w:p>
        </w:tc>
      </w:tr>
      <w:tr w:rsidR="00DD4B6C" w:rsidRPr="00DD4B6C" w:rsidTr="00DD4B6C">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Спортивные залы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м2 площади пола</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60-80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402-536</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650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r>
      <w:tr w:rsidR="00DD4B6C" w:rsidRPr="00DD4B6C" w:rsidTr="00DD4B6C">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Плавательные бассейны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м2 зеркала воды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20-25</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320-400</w:t>
            </w:r>
            <w:bookmarkStart w:id="19" w:name="_ftnref10"/>
            <w:r w:rsidRPr="00DD4B6C">
              <w:rPr>
                <w:rFonts w:ascii="Tahoma" w:eastAsia="Times New Roman" w:hAnsi="Tahoma" w:cs="Tahoma"/>
                <w:color w:val="2C2C2C"/>
                <w:sz w:val="20"/>
                <w:szCs w:val="20"/>
                <w:lang w:eastAsia="ru-RU"/>
              </w:rPr>
              <w:fldChar w:fldCharType="begin"/>
            </w:r>
            <w:r w:rsidRPr="00DD4B6C">
              <w:rPr>
                <w:rFonts w:ascii="Tahoma" w:eastAsia="Times New Roman" w:hAnsi="Tahoma" w:cs="Tahoma"/>
                <w:color w:val="2C2C2C"/>
                <w:sz w:val="20"/>
                <w:szCs w:val="20"/>
                <w:lang w:eastAsia="ru-RU"/>
              </w:rPr>
              <w:instrText xml:space="preserve"> HYPERLINK "http://oek.su/np_akty/akty_proekty_doc/2535-ob-utverzhdenii-programmy-kompleksnogo-razvitiya-socialnoy-infrastruktury-oekskogo-municipalnogo-obrazovaniya-irkutskogo-rayona-irkutskoy-oblasti-na-period-2018-2030-gg.html" \l "_ftn10" \o "" </w:instrText>
            </w:r>
            <w:r w:rsidRPr="00DD4B6C">
              <w:rPr>
                <w:rFonts w:ascii="Tahoma" w:eastAsia="Times New Roman" w:hAnsi="Tahoma" w:cs="Tahoma"/>
                <w:color w:val="2C2C2C"/>
                <w:sz w:val="20"/>
                <w:szCs w:val="20"/>
                <w:lang w:eastAsia="ru-RU"/>
              </w:rPr>
              <w:fldChar w:fldCharType="separate"/>
            </w:r>
            <w:r w:rsidRPr="00DD4B6C">
              <w:rPr>
                <w:rFonts w:ascii="Tahoma" w:eastAsia="Times New Roman" w:hAnsi="Tahoma" w:cs="Tahoma"/>
                <w:color w:val="44A1C7"/>
                <w:sz w:val="20"/>
                <w:szCs w:val="20"/>
                <w:lang w:eastAsia="ru-RU"/>
              </w:rPr>
              <w:t>[10]</w:t>
            </w:r>
            <w:r w:rsidRPr="00DD4B6C">
              <w:rPr>
                <w:rFonts w:ascii="Tahoma" w:eastAsia="Times New Roman" w:hAnsi="Tahoma" w:cs="Tahoma"/>
                <w:color w:val="2C2C2C"/>
                <w:sz w:val="20"/>
                <w:szCs w:val="20"/>
                <w:lang w:eastAsia="ru-RU"/>
              </w:rPr>
              <w:fldChar w:fldCharType="end"/>
            </w:r>
            <w:bookmarkEnd w:id="19"/>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320-400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1х400</w:t>
            </w:r>
          </w:p>
        </w:tc>
      </w:tr>
      <w:tr w:rsidR="00DD4B6C" w:rsidRPr="00DD4B6C" w:rsidTr="00DD4B6C">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Гостиницы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96</w:t>
            </w:r>
            <w:bookmarkStart w:id="20" w:name="_ftnref11"/>
            <w:r w:rsidRPr="00DD4B6C">
              <w:rPr>
                <w:rFonts w:ascii="Tahoma" w:eastAsia="Times New Roman" w:hAnsi="Tahoma" w:cs="Tahoma"/>
                <w:color w:val="2C2C2C"/>
                <w:sz w:val="20"/>
                <w:szCs w:val="20"/>
                <w:lang w:eastAsia="ru-RU"/>
              </w:rPr>
              <w:fldChar w:fldCharType="begin"/>
            </w:r>
            <w:r w:rsidRPr="00DD4B6C">
              <w:rPr>
                <w:rFonts w:ascii="Tahoma" w:eastAsia="Times New Roman" w:hAnsi="Tahoma" w:cs="Tahoma"/>
                <w:color w:val="2C2C2C"/>
                <w:sz w:val="20"/>
                <w:szCs w:val="20"/>
                <w:lang w:eastAsia="ru-RU"/>
              </w:rPr>
              <w:instrText xml:space="preserve"> HYPERLINK "http://oek.su/np_akty/akty_proekty_doc/2535-ob-utverzhdenii-programmy-kompleksnogo-razvitiya-socialnoy-infrastruktury-oekskogo-municipalnogo-obrazovaniya-irkutskogo-rayona-irkutskoy-oblasti-na-period-2018-2030-gg.html" \l "_ftn11" \o "" </w:instrText>
            </w:r>
            <w:r w:rsidRPr="00DD4B6C">
              <w:rPr>
                <w:rFonts w:ascii="Tahoma" w:eastAsia="Times New Roman" w:hAnsi="Tahoma" w:cs="Tahoma"/>
                <w:color w:val="2C2C2C"/>
                <w:sz w:val="20"/>
                <w:szCs w:val="20"/>
                <w:lang w:eastAsia="ru-RU"/>
              </w:rPr>
              <w:fldChar w:fldCharType="separate"/>
            </w:r>
            <w:r w:rsidRPr="00DD4B6C">
              <w:rPr>
                <w:rFonts w:ascii="Tahoma" w:eastAsia="Times New Roman" w:hAnsi="Tahoma" w:cs="Tahoma"/>
                <w:color w:val="44A1C7"/>
                <w:sz w:val="20"/>
                <w:szCs w:val="20"/>
                <w:lang w:eastAsia="ru-RU"/>
              </w:rPr>
              <w:t>[11]</w:t>
            </w:r>
            <w:r w:rsidRPr="00DD4B6C">
              <w:rPr>
                <w:rFonts w:ascii="Tahoma" w:eastAsia="Times New Roman" w:hAnsi="Tahoma" w:cs="Tahoma"/>
                <w:color w:val="2C2C2C"/>
                <w:sz w:val="20"/>
                <w:szCs w:val="20"/>
                <w:lang w:eastAsia="ru-RU"/>
              </w:rPr>
              <w:fldChar w:fldCharType="end"/>
            </w:r>
            <w:bookmarkEnd w:id="20"/>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96</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1х100</w:t>
            </w:r>
          </w:p>
        </w:tc>
      </w:tr>
    </w:tbl>
    <w:p w:rsidR="00DD4B6C" w:rsidRPr="00DD4B6C" w:rsidRDefault="00DD4B6C" w:rsidP="00DD4B6C">
      <w:pPr>
        <w:spacing w:line="240" w:lineRule="auto"/>
        <w:ind w:firstLine="0"/>
        <w:jc w:val="left"/>
        <w:rPr>
          <w:rFonts w:eastAsia="Times New Roman" w:cs="Times New Roman"/>
          <w:sz w:val="24"/>
          <w:szCs w:val="24"/>
          <w:lang w:eastAsia="ru-RU"/>
        </w:rPr>
      </w:pPr>
      <w:hyperlink r:id="rId10" w:anchor="_ftnref1" w:history="1">
        <w:r w:rsidRPr="00DD4B6C">
          <w:rPr>
            <w:rFonts w:ascii="Tahoma" w:eastAsia="Times New Roman" w:hAnsi="Tahoma" w:cs="Tahoma"/>
            <w:color w:val="44A1C7"/>
            <w:sz w:val="20"/>
            <w:szCs w:val="20"/>
            <w:shd w:val="clear" w:color="auto" w:fill="FFFFFF"/>
            <w:lang w:eastAsia="ru-RU"/>
          </w:rPr>
          <w:t>[1]</w:t>
        </w:r>
      </w:hyperlink>
      <w:r w:rsidRPr="00DD4B6C">
        <w:rPr>
          <w:rFonts w:ascii="Tahoma" w:eastAsia="Times New Roman" w:hAnsi="Tahoma" w:cs="Tahoma"/>
          <w:color w:val="2C2C2C"/>
          <w:sz w:val="20"/>
          <w:szCs w:val="20"/>
          <w:shd w:val="clear" w:color="auto" w:fill="FFFFFF"/>
          <w:lang w:eastAsia="ru-RU"/>
        </w:rPr>
        <w:t>в расчете на все постоянное население муниципального образования (16,0 тыс. чел.)</w:t>
      </w:r>
      <w:r w:rsidRPr="00DD4B6C">
        <w:rPr>
          <w:rFonts w:ascii="Tahoma" w:eastAsia="Times New Roman" w:hAnsi="Tahoma" w:cs="Tahoma"/>
          <w:color w:val="2C2C2C"/>
          <w:sz w:val="20"/>
          <w:szCs w:val="20"/>
          <w:lang w:eastAsia="ru-RU"/>
        </w:rPr>
        <w:br/>
      </w:r>
      <w:hyperlink r:id="rId11" w:anchor="_ftnref2" w:history="1">
        <w:r w:rsidRPr="00DD4B6C">
          <w:rPr>
            <w:rFonts w:ascii="Tahoma" w:eastAsia="Times New Roman" w:hAnsi="Tahoma" w:cs="Tahoma"/>
            <w:color w:val="44A1C7"/>
            <w:sz w:val="20"/>
            <w:szCs w:val="20"/>
            <w:shd w:val="clear" w:color="auto" w:fill="FFFFFF"/>
            <w:lang w:eastAsia="ru-RU"/>
          </w:rPr>
          <w:t>[2]</w:t>
        </w:r>
      </w:hyperlink>
      <w:r w:rsidRPr="00DD4B6C">
        <w:rPr>
          <w:rFonts w:ascii="Tahoma" w:eastAsia="Times New Roman" w:hAnsi="Tahoma" w:cs="Tahoma"/>
          <w:color w:val="2C2C2C"/>
          <w:sz w:val="20"/>
          <w:szCs w:val="20"/>
          <w:shd w:val="clear" w:color="auto" w:fill="FFFFFF"/>
          <w:lang w:eastAsia="ru-RU"/>
        </w:rPr>
        <w:t> в расчете на все постоянное население муниципального образования (16,0 тыс. чел.)</w:t>
      </w:r>
      <w:r w:rsidRPr="00DD4B6C">
        <w:rPr>
          <w:rFonts w:ascii="Tahoma" w:eastAsia="Times New Roman" w:hAnsi="Tahoma" w:cs="Tahoma"/>
          <w:color w:val="2C2C2C"/>
          <w:sz w:val="20"/>
          <w:szCs w:val="20"/>
          <w:lang w:eastAsia="ru-RU"/>
        </w:rPr>
        <w:br/>
      </w:r>
      <w:hyperlink r:id="rId12" w:anchor="_ftnref3" w:history="1">
        <w:r w:rsidRPr="00DD4B6C">
          <w:rPr>
            <w:rFonts w:ascii="Tahoma" w:eastAsia="Times New Roman" w:hAnsi="Tahoma" w:cs="Tahoma"/>
            <w:color w:val="44A1C7"/>
            <w:sz w:val="20"/>
            <w:szCs w:val="20"/>
            <w:shd w:val="clear" w:color="auto" w:fill="FFFFFF"/>
            <w:lang w:eastAsia="ru-RU"/>
          </w:rPr>
          <w:t>[3]</w:t>
        </w:r>
      </w:hyperlink>
      <w:r w:rsidRPr="00DD4B6C">
        <w:rPr>
          <w:rFonts w:ascii="Tahoma" w:eastAsia="Times New Roman" w:hAnsi="Tahoma" w:cs="Tahoma"/>
          <w:color w:val="2C2C2C"/>
          <w:sz w:val="20"/>
          <w:szCs w:val="20"/>
          <w:shd w:val="clear" w:color="auto" w:fill="FFFFFF"/>
          <w:lang w:eastAsia="ru-RU"/>
        </w:rPr>
        <w:t>в соответствии со Схемой территориального планирования Иркутского муниципального района</w:t>
      </w:r>
      <w:r w:rsidRPr="00DD4B6C">
        <w:rPr>
          <w:rFonts w:ascii="Tahoma" w:eastAsia="Times New Roman" w:hAnsi="Tahoma" w:cs="Tahoma"/>
          <w:color w:val="2C2C2C"/>
          <w:sz w:val="20"/>
          <w:szCs w:val="20"/>
          <w:lang w:eastAsia="ru-RU"/>
        </w:rPr>
        <w:br/>
      </w:r>
      <w:hyperlink r:id="rId13" w:anchor="_ftnref4" w:history="1">
        <w:r w:rsidRPr="00DD4B6C">
          <w:rPr>
            <w:rFonts w:ascii="Tahoma" w:eastAsia="Times New Roman" w:hAnsi="Tahoma" w:cs="Tahoma"/>
            <w:color w:val="44A1C7"/>
            <w:sz w:val="20"/>
            <w:szCs w:val="20"/>
            <w:shd w:val="clear" w:color="auto" w:fill="FFFFFF"/>
            <w:lang w:eastAsia="ru-RU"/>
          </w:rPr>
          <w:t>[4]</w:t>
        </w:r>
      </w:hyperlink>
      <w:r w:rsidRPr="00DD4B6C">
        <w:rPr>
          <w:rFonts w:ascii="Tahoma" w:eastAsia="Times New Roman" w:hAnsi="Tahoma" w:cs="Tahoma"/>
          <w:color w:val="2C2C2C"/>
          <w:sz w:val="20"/>
          <w:szCs w:val="20"/>
          <w:shd w:val="clear" w:color="auto" w:fill="FFFFFF"/>
          <w:lang w:eastAsia="ru-RU"/>
        </w:rPr>
        <w:t> в расчете на полную численность населения муниципального образования с учетом временного (20 тыс. чел.)</w:t>
      </w:r>
      <w:r w:rsidRPr="00DD4B6C">
        <w:rPr>
          <w:rFonts w:ascii="Tahoma" w:eastAsia="Times New Roman" w:hAnsi="Tahoma" w:cs="Tahoma"/>
          <w:color w:val="2C2C2C"/>
          <w:sz w:val="20"/>
          <w:szCs w:val="20"/>
          <w:lang w:eastAsia="ru-RU"/>
        </w:rPr>
        <w:br/>
      </w:r>
      <w:hyperlink r:id="rId14" w:anchor="_ftnref5" w:history="1">
        <w:r w:rsidRPr="00DD4B6C">
          <w:rPr>
            <w:rFonts w:ascii="Tahoma" w:eastAsia="Times New Roman" w:hAnsi="Tahoma" w:cs="Tahoma"/>
            <w:color w:val="44A1C7"/>
            <w:sz w:val="20"/>
            <w:szCs w:val="20"/>
            <w:shd w:val="clear" w:color="auto" w:fill="FFFFFF"/>
            <w:lang w:eastAsia="ru-RU"/>
          </w:rPr>
          <w:t>[5]</w:t>
        </w:r>
      </w:hyperlink>
      <w:r w:rsidRPr="00DD4B6C">
        <w:rPr>
          <w:rFonts w:ascii="Tahoma" w:eastAsia="Times New Roman" w:hAnsi="Tahoma" w:cs="Tahoma"/>
          <w:color w:val="2C2C2C"/>
          <w:sz w:val="20"/>
          <w:szCs w:val="20"/>
          <w:shd w:val="clear" w:color="auto" w:fill="FFFFFF"/>
          <w:lang w:eastAsia="ru-RU"/>
        </w:rPr>
        <w:t>в соответствии со Схемой территориального планирования Иркутского муниципального района</w:t>
      </w:r>
      <w:r w:rsidRPr="00DD4B6C">
        <w:rPr>
          <w:rFonts w:ascii="Tahoma" w:eastAsia="Times New Roman" w:hAnsi="Tahoma" w:cs="Tahoma"/>
          <w:color w:val="2C2C2C"/>
          <w:sz w:val="20"/>
          <w:szCs w:val="20"/>
          <w:lang w:eastAsia="ru-RU"/>
        </w:rPr>
        <w:br/>
      </w:r>
      <w:bookmarkStart w:id="21" w:name="_ftn6"/>
      <w:r w:rsidRPr="00DD4B6C">
        <w:rPr>
          <w:rFonts w:eastAsia="Times New Roman" w:cs="Times New Roman"/>
          <w:sz w:val="24"/>
          <w:szCs w:val="24"/>
          <w:lang w:eastAsia="ru-RU"/>
        </w:rPr>
        <w:fldChar w:fldCharType="begin"/>
      </w:r>
      <w:r w:rsidRPr="00DD4B6C">
        <w:rPr>
          <w:rFonts w:eastAsia="Times New Roman" w:cs="Times New Roman"/>
          <w:sz w:val="24"/>
          <w:szCs w:val="24"/>
          <w:lang w:eastAsia="ru-RU"/>
        </w:rPr>
        <w:instrText xml:space="preserve"> HYPERLINK "http://oek.su/np_akty/akty_proekty_doc/2535-ob-utverzhdenii-programmy-kompleksnogo-razvitiya-socialnoy-infrastruktury-oekskogo-municipalnogo-obrazovaniya-irkutskogo-rayona-irkutskoy-oblasti-na-period-2018-2030-gg.html" \l "_ftnref6" \o "" </w:instrText>
      </w:r>
      <w:r w:rsidRPr="00DD4B6C">
        <w:rPr>
          <w:rFonts w:eastAsia="Times New Roman" w:cs="Times New Roman"/>
          <w:sz w:val="24"/>
          <w:szCs w:val="24"/>
          <w:lang w:eastAsia="ru-RU"/>
        </w:rPr>
        <w:fldChar w:fldCharType="separate"/>
      </w:r>
      <w:r w:rsidRPr="00DD4B6C">
        <w:rPr>
          <w:rFonts w:ascii="Tahoma" w:eastAsia="Times New Roman" w:hAnsi="Tahoma" w:cs="Tahoma"/>
          <w:color w:val="44A1C7"/>
          <w:sz w:val="20"/>
          <w:szCs w:val="20"/>
          <w:shd w:val="clear" w:color="auto" w:fill="FFFFFF"/>
          <w:lang w:eastAsia="ru-RU"/>
        </w:rPr>
        <w:t>[6]</w:t>
      </w:r>
      <w:r w:rsidRPr="00DD4B6C">
        <w:rPr>
          <w:rFonts w:eastAsia="Times New Roman" w:cs="Times New Roman"/>
          <w:sz w:val="24"/>
          <w:szCs w:val="24"/>
          <w:lang w:eastAsia="ru-RU"/>
        </w:rPr>
        <w:fldChar w:fldCharType="end"/>
      </w:r>
      <w:bookmarkEnd w:id="21"/>
      <w:r w:rsidRPr="00DD4B6C">
        <w:rPr>
          <w:rFonts w:ascii="Tahoma" w:eastAsia="Times New Roman" w:hAnsi="Tahoma" w:cs="Tahoma"/>
          <w:color w:val="2C2C2C"/>
          <w:sz w:val="20"/>
          <w:szCs w:val="20"/>
          <w:shd w:val="clear" w:color="auto" w:fill="FFFFFF"/>
          <w:lang w:eastAsia="ru-RU"/>
        </w:rPr>
        <w:t>в расчете на полную численность населения населенного пункта с учетом временного (8,1 тыс. чел.)</w:t>
      </w:r>
      <w:r w:rsidRPr="00DD4B6C">
        <w:rPr>
          <w:rFonts w:ascii="Tahoma" w:eastAsia="Times New Roman" w:hAnsi="Tahoma" w:cs="Tahoma"/>
          <w:color w:val="2C2C2C"/>
          <w:sz w:val="20"/>
          <w:szCs w:val="20"/>
          <w:lang w:eastAsia="ru-RU"/>
        </w:rPr>
        <w:br/>
      </w:r>
      <w:bookmarkStart w:id="22" w:name="_ftn7"/>
      <w:r w:rsidRPr="00DD4B6C">
        <w:rPr>
          <w:rFonts w:eastAsia="Times New Roman" w:cs="Times New Roman"/>
          <w:sz w:val="24"/>
          <w:szCs w:val="24"/>
          <w:lang w:eastAsia="ru-RU"/>
        </w:rPr>
        <w:fldChar w:fldCharType="begin"/>
      </w:r>
      <w:r w:rsidRPr="00DD4B6C">
        <w:rPr>
          <w:rFonts w:eastAsia="Times New Roman" w:cs="Times New Roman"/>
          <w:sz w:val="24"/>
          <w:szCs w:val="24"/>
          <w:lang w:eastAsia="ru-RU"/>
        </w:rPr>
        <w:instrText xml:space="preserve"> HYPERLINK "http://oek.su/np_akty/akty_proekty_doc/2535-ob-utverzhdenii-programmy-kompleksnogo-razvitiya-socialnoy-infrastruktury-oekskogo-municipalnogo-obrazovaniya-irkutskogo-rayona-irkutskoy-oblasti-na-period-2018-2030-gg.html" \l "_ftnref7" \o "" </w:instrText>
      </w:r>
      <w:r w:rsidRPr="00DD4B6C">
        <w:rPr>
          <w:rFonts w:eastAsia="Times New Roman" w:cs="Times New Roman"/>
          <w:sz w:val="24"/>
          <w:szCs w:val="24"/>
          <w:lang w:eastAsia="ru-RU"/>
        </w:rPr>
        <w:fldChar w:fldCharType="separate"/>
      </w:r>
      <w:r w:rsidRPr="00DD4B6C">
        <w:rPr>
          <w:rFonts w:ascii="Tahoma" w:eastAsia="Times New Roman" w:hAnsi="Tahoma" w:cs="Tahoma"/>
          <w:color w:val="44A1C7"/>
          <w:sz w:val="20"/>
          <w:szCs w:val="20"/>
          <w:shd w:val="clear" w:color="auto" w:fill="FFFFFF"/>
          <w:lang w:eastAsia="ru-RU"/>
        </w:rPr>
        <w:t>[7]</w:t>
      </w:r>
      <w:r w:rsidRPr="00DD4B6C">
        <w:rPr>
          <w:rFonts w:eastAsia="Times New Roman" w:cs="Times New Roman"/>
          <w:sz w:val="24"/>
          <w:szCs w:val="24"/>
          <w:lang w:eastAsia="ru-RU"/>
        </w:rPr>
        <w:fldChar w:fldCharType="end"/>
      </w:r>
      <w:bookmarkEnd w:id="22"/>
      <w:r w:rsidRPr="00DD4B6C">
        <w:rPr>
          <w:rFonts w:ascii="Tahoma" w:eastAsia="Times New Roman" w:hAnsi="Tahoma" w:cs="Tahoma"/>
          <w:color w:val="2C2C2C"/>
          <w:sz w:val="20"/>
          <w:szCs w:val="20"/>
          <w:shd w:val="clear" w:color="auto" w:fill="FFFFFF"/>
          <w:lang w:eastAsia="ru-RU"/>
        </w:rPr>
        <w:t> расчете на полную численность населения населенного пункта с учетом временного (8,1 тыс. чел.)</w:t>
      </w:r>
      <w:r w:rsidRPr="00DD4B6C">
        <w:rPr>
          <w:rFonts w:ascii="Tahoma" w:eastAsia="Times New Roman" w:hAnsi="Tahoma" w:cs="Tahoma"/>
          <w:color w:val="2C2C2C"/>
          <w:sz w:val="20"/>
          <w:szCs w:val="20"/>
          <w:lang w:eastAsia="ru-RU"/>
        </w:rPr>
        <w:br/>
      </w:r>
      <w:bookmarkStart w:id="23" w:name="_ftn8"/>
      <w:r w:rsidRPr="00DD4B6C">
        <w:rPr>
          <w:rFonts w:eastAsia="Times New Roman" w:cs="Times New Roman"/>
          <w:sz w:val="24"/>
          <w:szCs w:val="24"/>
          <w:lang w:eastAsia="ru-RU"/>
        </w:rPr>
        <w:fldChar w:fldCharType="begin"/>
      </w:r>
      <w:r w:rsidRPr="00DD4B6C">
        <w:rPr>
          <w:rFonts w:eastAsia="Times New Roman" w:cs="Times New Roman"/>
          <w:sz w:val="24"/>
          <w:szCs w:val="24"/>
          <w:lang w:eastAsia="ru-RU"/>
        </w:rPr>
        <w:instrText xml:space="preserve"> HYPERLINK "http://oek.su/np_akty/akty_proekty_doc/2535-ob-utverzhdenii-programmy-kompleksnogo-razvitiya-socialnoy-infrastruktury-oekskogo-municipalnogo-obrazovaniya-irkutskogo-rayona-irkutskoy-oblasti-na-period-2018-2030-gg.html" \l "_ftnref8" \o "" </w:instrText>
      </w:r>
      <w:r w:rsidRPr="00DD4B6C">
        <w:rPr>
          <w:rFonts w:eastAsia="Times New Roman" w:cs="Times New Roman"/>
          <w:sz w:val="24"/>
          <w:szCs w:val="24"/>
          <w:lang w:eastAsia="ru-RU"/>
        </w:rPr>
        <w:fldChar w:fldCharType="separate"/>
      </w:r>
      <w:r w:rsidRPr="00DD4B6C">
        <w:rPr>
          <w:rFonts w:ascii="Tahoma" w:eastAsia="Times New Roman" w:hAnsi="Tahoma" w:cs="Tahoma"/>
          <w:color w:val="44A1C7"/>
          <w:sz w:val="20"/>
          <w:szCs w:val="20"/>
          <w:shd w:val="clear" w:color="auto" w:fill="FFFFFF"/>
          <w:lang w:eastAsia="ru-RU"/>
        </w:rPr>
        <w:t>[8]</w:t>
      </w:r>
      <w:r w:rsidRPr="00DD4B6C">
        <w:rPr>
          <w:rFonts w:eastAsia="Times New Roman" w:cs="Times New Roman"/>
          <w:sz w:val="24"/>
          <w:szCs w:val="24"/>
          <w:lang w:eastAsia="ru-RU"/>
        </w:rPr>
        <w:fldChar w:fldCharType="end"/>
      </w:r>
      <w:bookmarkEnd w:id="23"/>
      <w:r w:rsidRPr="00DD4B6C">
        <w:rPr>
          <w:rFonts w:ascii="Tahoma" w:eastAsia="Times New Roman" w:hAnsi="Tahoma" w:cs="Tahoma"/>
          <w:color w:val="2C2C2C"/>
          <w:sz w:val="20"/>
          <w:szCs w:val="20"/>
          <w:shd w:val="clear" w:color="auto" w:fill="FFFFFF"/>
          <w:lang w:eastAsia="ru-RU"/>
        </w:rPr>
        <w:t> в расчете на все постоянное население муниципального образования (16,0 тыс. чел.)</w:t>
      </w:r>
      <w:r w:rsidRPr="00DD4B6C">
        <w:rPr>
          <w:rFonts w:ascii="Tahoma" w:eastAsia="Times New Roman" w:hAnsi="Tahoma" w:cs="Tahoma"/>
          <w:color w:val="2C2C2C"/>
          <w:sz w:val="20"/>
          <w:szCs w:val="20"/>
          <w:lang w:eastAsia="ru-RU"/>
        </w:rPr>
        <w:br/>
      </w:r>
      <w:bookmarkStart w:id="24" w:name="_ftn9"/>
      <w:r w:rsidRPr="00DD4B6C">
        <w:rPr>
          <w:rFonts w:eastAsia="Times New Roman" w:cs="Times New Roman"/>
          <w:sz w:val="24"/>
          <w:szCs w:val="24"/>
          <w:lang w:eastAsia="ru-RU"/>
        </w:rPr>
        <w:fldChar w:fldCharType="begin"/>
      </w:r>
      <w:r w:rsidRPr="00DD4B6C">
        <w:rPr>
          <w:rFonts w:eastAsia="Times New Roman" w:cs="Times New Roman"/>
          <w:sz w:val="24"/>
          <w:szCs w:val="24"/>
          <w:lang w:eastAsia="ru-RU"/>
        </w:rPr>
        <w:instrText xml:space="preserve"> HYPERLINK "http://oek.su/np_akty/akty_proekty_doc/2535-ob-utverzhdenii-programmy-kompleksnogo-razvitiya-socialnoy-infrastruktury-oekskogo-municipalnogo-obrazovaniya-irkutskogo-rayona-irkutskoy-oblasti-na-period-2018-2030-gg.html" \l "_ftnref9" \o "" </w:instrText>
      </w:r>
      <w:r w:rsidRPr="00DD4B6C">
        <w:rPr>
          <w:rFonts w:eastAsia="Times New Roman" w:cs="Times New Roman"/>
          <w:sz w:val="24"/>
          <w:szCs w:val="24"/>
          <w:lang w:eastAsia="ru-RU"/>
        </w:rPr>
        <w:fldChar w:fldCharType="separate"/>
      </w:r>
      <w:r w:rsidRPr="00DD4B6C">
        <w:rPr>
          <w:rFonts w:ascii="Tahoma" w:eastAsia="Times New Roman" w:hAnsi="Tahoma" w:cs="Tahoma"/>
          <w:color w:val="44A1C7"/>
          <w:sz w:val="20"/>
          <w:szCs w:val="20"/>
          <w:shd w:val="clear" w:color="auto" w:fill="FFFFFF"/>
          <w:lang w:eastAsia="ru-RU"/>
        </w:rPr>
        <w:t>[9]</w:t>
      </w:r>
      <w:r w:rsidRPr="00DD4B6C">
        <w:rPr>
          <w:rFonts w:eastAsia="Times New Roman" w:cs="Times New Roman"/>
          <w:sz w:val="24"/>
          <w:szCs w:val="24"/>
          <w:lang w:eastAsia="ru-RU"/>
        </w:rPr>
        <w:fldChar w:fldCharType="end"/>
      </w:r>
      <w:bookmarkEnd w:id="24"/>
      <w:r w:rsidRPr="00DD4B6C">
        <w:rPr>
          <w:rFonts w:ascii="Tahoma" w:eastAsia="Times New Roman" w:hAnsi="Tahoma" w:cs="Tahoma"/>
          <w:color w:val="2C2C2C"/>
          <w:sz w:val="20"/>
          <w:szCs w:val="20"/>
          <w:shd w:val="clear" w:color="auto" w:fill="FFFFFF"/>
          <w:lang w:eastAsia="ru-RU"/>
        </w:rPr>
        <w:t> в расчете на все постоянное население муниципального образования (16,0 тыс. чел.)</w:t>
      </w:r>
      <w:r w:rsidRPr="00DD4B6C">
        <w:rPr>
          <w:rFonts w:ascii="Tahoma" w:eastAsia="Times New Roman" w:hAnsi="Tahoma" w:cs="Tahoma"/>
          <w:color w:val="2C2C2C"/>
          <w:sz w:val="20"/>
          <w:szCs w:val="20"/>
          <w:lang w:eastAsia="ru-RU"/>
        </w:rPr>
        <w:br/>
      </w:r>
      <w:bookmarkStart w:id="25" w:name="_ftn10"/>
      <w:r w:rsidRPr="00DD4B6C">
        <w:rPr>
          <w:rFonts w:eastAsia="Times New Roman" w:cs="Times New Roman"/>
          <w:sz w:val="24"/>
          <w:szCs w:val="24"/>
          <w:lang w:eastAsia="ru-RU"/>
        </w:rPr>
        <w:fldChar w:fldCharType="begin"/>
      </w:r>
      <w:r w:rsidRPr="00DD4B6C">
        <w:rPr>
          <w:rFonts w:eastAsia="Times New Roman" w:cs="Times New Roman"/>
          <w:sz w:val="24"/>
          <w:szCs w:val="24"/>
          <w:lang w:eastAsia="ru-RU"/>
        </w:rPr>
        <w:instrText xml:space="preserve"> HYPERLINK "http://oek.su/np_akty/akty_proekty_doc/2535-ob-utverzhdenii-programmy-kompleksnogo-razvitiya-socialnoy-infrastruktury-oekskogo-municipalnogo-obrazovaniya-irkutskogo-rayona-irkutskoy-oblasti-na-period-2018-2030-gg.html" \l "_ftnref10" \o "" </w:instrText>
      </w:r>
      <w:r w:rsidRPr="00DD4B6C">
        <w:rPr>
          <w:rFonts w:eastAsia="Times New Roman" w:cs="Times New Roman"/>
          <w:sz w:val="24"/>
          <w:szCs w:val="24"/>
          <w:lang w:eastAsia="ru-RU"/>
        </w:rPr>
        <w:fldChar w:fldCharType="separate"/>
      </w:r>
      <w:r w:rsidRPr="00DD4B6C">
        <w:rPr>
          <w:rFonts w:ascii="Tahoma" w:eastAsia="Times New Roman" w:hAnsi="Tahoma" w:cs="Tahoma"/>
          <w:color w:val="44A1C7"/>
          <w:sz w:val="20"/>
          <w:szCs w:val="20"/>
          <w:shd w:val="clear" w:color="auto" w:fill="FFFFFF"/>
          <w:lang w:eastAsia="ru-RU"/>
        </w:rPr>
        <w:t>[10]</w:t>
      </w:r>
      <w:r w:rsidRPr="00DD4B6C">
        <w:rPr>
          <w:rFonts w:eastAsia="Times New Roman" w:cs="Times New Roman"/>
          <w:sz w:val="24"/>
          <w:szCs w:val="24"/>
          <w:lang w:eastAsia="ru-RU"/>
        </w:rPr>
        <w:fldChar w:fldCharType="end"/>
      </w:r>
      <w:bookmarkEnd w:id="25"/>
      <w:r w:rsidRPr="00DD4B6C">
        <w:rPr>
          <w:rFonts w:ascii="Tahoma" w:eastAsia="Times New Roman" w:hAnsi="Tahoma" w:cs="Tahoma"/>
          <w:color w:val="2C2C2C"/>
          <w:sz w:val="20"/>
          <w:szCs w:val="20"/>
          <w:shd w:val="clear" w:color="auto" w:fill="FFFFFF"/>
          <w:lang w:eastAsia="ru-RU"/>
        </w:rPr>
        <w:t> в расчете на все постоянное население муниципального образования (16,0 тыс. чел.)</w:t>
      </w:r>
      <w:r w:rsidRPr="00DD4B6C">
        <w:rPr>
          <w:rFonts w:ascii="Tahoma" w:eastAsia="Times New Roman" w:hAnsi="Tahoma" w:cs="Tahoma"/>
          <w:color w:val="2C2C2C"/>
          <w:sz w:val="20"/>
          <w:szCs w:val="20"/>
          <w:lang w:eastAsia="ru-RU"/>
        </w:rPr>
        <w:br/>
      </w:r>
      <w:bookmarkStart w:id="26" w:name="_ftn11"/>
      <w:r w:rsidRPr="00DD4B6C">
        <w:rPr>
          <w:rFonts w:eastAsia="Times New Roman" w:cs="Times New Roman"/>
          <w:sz w:val="24"/>
          <w:szCs w:val="24"/>
          <w:lang w:eastAsia="ru-RU"/>
        </w:rPr>
        <w:fldChar w:fldCharType="begin"/>
      </w:r>
      <w:r w:rsidRPr="00DD4B6C">
        <w:rPr>
          <w:rFonts w:eastAsia="Times New Roman" w:cs="Times New Roman"/>
          <w:sz w:val="24"/>
          <w:szCs w:val="24"/>
          <w:lang w:eastAsia="ru-RU"/>
        </w:rPr>
        <w:instrText xml:space="preserve"> HYPERLINK "http://oek.su/np_akty/akty_proekty_doc/2535-ob-utverzhdenii-programmy-kompleksnogo-razvitiya-socialnoy-infrastruktury-oekskogo-municipalnogo-obrazovaniya-irkutskogo-rayona-irkutskoy-oblasti-na-period-2018-2030-gg.html" \l "_ftnref11" \o "" </w:instrText>
      </w:r>
      <w:r w:rsidRPr="00DD4B6C">
        <w:rPr>
          <w:rFonts w:eastAsia="Times New Roman" w:cs="Times New Roman"/>
          <w:sz w:val="24"/>
          <w:szCs w:val="24"/>
          <w:lang w:eastAsia="ru-RU"/>
        </w:rPr>
        <w:fldChar w:fldCharType="separate"/>
      </w:r>
      <w:r w:rsidRPr="00DD4B6C">
        <w:rPr>
          <w:rFonts w:ascii="Tahoma" w:eastAsia="Times New Roman" w:hAnsi="Tahoma" w:cs="Tahoma"/>
          <w:color w:val="44A1C7"/>
          <w:sz w:val="20"/>
          <w:szCs w:val="20"/>
          <w:shd w:val="clear" w:color="auto" w:fill="FFFFFF"/>
          <w:lang w:eastAsia="ru-RU"/>
        </w:rPr>
        <w:t>[11]</w:t>
      </w:r>
      <w:r w:rsidRPr="00DD4B6C">
        <w:rPr>
          <w:rFonts w:eastAsia="Times New Roman" w:cs="Times New Roman"/>
          <w:sz w:val="24"/>
          <w:szCs w:val="24"/>
          <w:lang w:eastAsia="ru-RU"/>
        </w:rPr>
        <w:fldChar w:fldCharType="end"/>
      </w:r>
      <w:bookmarkEnd w:id="26"/>
      <w:r w:rsidRPr="00DD4B6C">
        <w:rPr>
          <w:rFonts w:ascii="Tahoma" w:eastAsia="Times New Roman" w:hAnsi="Tahoma" w:cs="Tahoma"/>
          <w:color w:val="2C2C2C"/>
          <w:sz w:val="20"/>
          <w:szCs w:val="20"/>
          <w:shd w:val="clear" w:color="auto" w:fill="FFFFFF"/>
          <w:lang w:eastAsia="ru-RU"/>
        </w:rPr>
        <w:t> в расчете на все постоянное население муниципального образования (16,0 тыс. чел.)</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Таблица 4.4 Размещение объектов первичного культурно-бытового обслуживания д. Зыкова на расчетный срок</w:t>
      </w:r>
    </w:p>
    <w:p w:rsidR="00DD4B6C" w:rsidRPr="00DD4B6C" w:rsidRDefault="00DD4B6C" w:rsidP="00DD4B6C">
      <w:pPr>
        <w:spacing w:line="240" w:lineRule="auto"/>
        <w:ind w:firstLine="0"/>
        <w:jc w:val="left"/>
        <w:rPr>
          <w:rFonts w:eastAsia="Times New Roman" w:cs="Times New Roman"/>
          <w:sz w:val="24"/>
          <w:szCs w:val="24"/>
          <w:lang w:eastAsia="ru-RU"/>
        </w:rPr>
      </w:pPr>
    </w:p>
    <w:tbl>
      <w:tblPr>
        <w:tblW w:w="882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869"/>
        <w:gridCol w:w="1010"/>
        <w:gridCol w:w="921"/>
        <w:gridCol w:w="1259"/>
        <w:gridCol w:w="1433"/>
        <w:gridCol w:w="1554"/>
        <w:gridCol w:w="1293"/>
      </w:tblGrid>
      <w:tr w:rsidR="00DD4B6C" w:rsidRPr="00DD4B6C" w:rsidTr="00DD4B6C">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Объекты</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Единица измерения</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Норматив на 1000 жителей</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Требуется на постоянное население0,7 тыс. чел.</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Существующие сохраняемые объекты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Дополнительная потребность</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Предложения по размещению</w:t>
            </w:r>
          </w:p>
        </w:tc>
      </w:tr>
      <w:tr w:rsidR="00DD4B6C" w:rsidRPr="00DD4B6C" w:rsidTr="00DD4B6C">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lastRenderedPageBreak/>
              <w:t>Дошкольные образовательные учреждения</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56</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39</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39</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1х50</w:t>
            </w:r>
          </w:p>
        </w:tc>
      </w:tr>
      <w:tr w:rsidR="00DD4B6C" w:rsidRPr="00DD4B6C" w:rsidTr="00DD4B6C">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Общеобразовательные школы</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140</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98</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98</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 Оек</w:t>
            </w:r>
          </w:p>
        </w:tc>
      </w:tr>
      <w:tr w:rsidR="00DD4B6C" w:rsidRPr="00DD4B6C" w:rsidTr="00DD4B6C">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Амбулатории</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посещение в смену</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18,15</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13</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13</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 Оек</w:t>
            </w:r>
          </w:p>
        </w:tc>
      </w:tr>
      <w:tr w:rsidR="00DD4B6C" w:rsidRPr="00DD4B6C" w:rsidTr="00DD4B6C">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ФАП</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пос.</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r>
      <w:tr w:rsidR="00DD4B6C" w:rsidRPr="00DD4B6C" w:rsidTr="00DD4B6C">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Аптеки</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пос.</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r>
      <w:tr w:rsidR="00DD4B6C" w:rsidRPr="00DD4B6C" w:rsidTr="00DD4B6C">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Клубы</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зрит. место</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150</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105</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105</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 Оек</w:t>
            </w:r>
          </w:p>
        </w:tc>
      </w:tr>
      <w:tr w:rsidR="00DD4B6C" w:rsidRPr="00DD4B6C" w:rsidTr="00DD4B6C">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Библиотеки</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тыс.ед. хранения</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3,5</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3,5</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 Оек</w:t>
            </w:r>
          </w:p>
        </w:tc>
      </w:tr>
      <w:tr w:rsidR="00DD4B6C" w:rsidRPr="00DD4B6C" w:rsidTr="00DD4B6C">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Магазины</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м2 торг. площади</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300</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210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210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3х70</w:t>
            </w:r>
          </w:p>
        </w:tc>
      </w:tr>
      <w:tr w:rsidR="00DD4B6C" w:rsidRPr="00DD4B6C" w:rsidTr="00DD4B6C">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Предприятия общественного питания</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40</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28</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28</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1х28</w:t>
            </w:r>
          </w:p>
        </w:tc>
      </w:tr>
      <w:tr w:rsidR="00DD4B6C" w:rsidRPr="00DD4B6C" w:rsidTr="00DD4B6C">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Предприятия непосредственного бытового обслуживания</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рабочее место</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1х3</w:t>
            </w:r>
          </w:p>
        </w:tc>
      </w:tr>
      <w:tr w:rsidR="00DD4B6C" w:rsidRPr="00DD4B6C" w:rsidTr="00DD4B6C">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Спортивные сооружения</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га</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0,7-0,9</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0,5-0,6</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0,5-0,6</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 Оек</w:t>
            </w:r>
          </w:p>
        </w:tc>
      </w:tr>
      <w:tr w:rsidR="00DD4B6C" w:rsidRPr="00DD4B6C" w:rsidTr="00DD4B6C">
        <w:trPr>
          <w:tblCellSpacing w:w="0" w:type="dxa"/>
        </w:trPr>
        <w:tc>
          <w:tcPr>
            <w:tcW w:w="1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Отделения связи</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2-6</w:t>
            </w:r>
            <w:r w:rsidRPr="00DD4B6C">
              <w:rPr>
                <w:rFonts w:ascii="Tahoma" w:eastAsia="Times New Roman" w:hAnsi="Tahoma" w:cs="Tahoma"/>
                <w:color w:val="2C2C2C"/>
                <w:sz w:val="20"/>
                <w:szCs w:val="20"/>
                <w:lang w:eastAsia="ru-RU"/>
              </w:rPr>
              <w:br/>
              <w:t>тыс. чел.</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 Оек</w:t>
            </w:r>
          </w:p>
        </w:tc>
      </w:tr>
    </w:tbl>
    <w:p w:rsidR="00DD4B6C" w:rsidRPr="00DD4B6C" w:rsidRDefault="00DD4B6C" w:rsidP="00DD4B6C">
      <w:pPr>
        <w:spacing w:line="240" w:lineRule="auto"/>
        <w:ind w:firstLine="0"/>
        <w:jc w:val="left"/>
        <w:rPr>
          <w:rFonts w:eastAsia="Times New Roman" w:cs="Times New Roman"/>
          <w:sz w:val="24"/>
          <w:szCs w:val="24"/>
          <w:lang w:eastAsia="ru-RU"/>
        </w:rPr>
      </w:pPr>
      <w:r w:rsidRPr="00DD4B6C">
        <w:rPr>
          <w:rFonts w:ascii="Tahoma" w:eastAsia="Times New Roman" w:hAnsi="Tahoma" w:cs="Tahoma"/>
          <w:color w:val="2C2C2C"/>
          <w:sz w:val="20"/>
          <w:szCs w:val="20"/>
          <w:lang w:eastAsia="ru-RU"/>
        </w:rPr>
        <w:br/>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Таблица 4.5 Размещение объектов первичного культурно-бытового обслуживания д. Турская на расчетный срок</w:t>
      </w:r>
    </w:p>
    <w:tbl>
      <w:tblPr>
        <w:tblW w:w="8976"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117"/>
        <w:gridCol w:w="1024"/>
        <w:gridCol w:w="911"/>
        <w:gridCol w:w="1071"/>
        <w:gridCol w:w="1406"/>
        <w:gridCol w:w="1538"/>
        <w:gridCol w:w="1272"/>
      </w:tblGrid>
      <w:tr w:rsidR="00DD4B6C" w:rsidRPr="00DD4B6C" w:rsidTr="00DD4B6C">
        <w:trPr>
          <w:tblCellSpacing w:w="0" w:type="dxa"/>
        </w:trPr>
        <w:tc>
          <w:tcPr>
            <w:tcW w:w="9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Единица измерения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Норматив на 1000 жителей</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Требуется на постоянное население</w:t>
            </w:r>
            <w:r w:rsidRPr="00DD4B6C">
              <w:rPr>
                <w:rFonts w:ascii="Tahoma" w:eastAsia="Times New Roman" w:hAnsi="Tahoma" w:cs="Tahoma"/>
                <w:color w:val="2C2C2C"/>
                <w:sz w:val="20"/>
                <w:szCs w:val="20"/>
                <w:lang w:eastAsia="ru-RU"/>
              </w:rPr>
              <w:br/>
              <w:t>0,8 тыс. чел.</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Существующие сохраняемые объекты</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Дополнительная потребность</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Предложения по размещению</w:t>
            </w:r>
          </w:p>
        </w:tc>
      </w:tr>
      <w:tr w:rsidR="00DD4B6C" w:rsidRPr="00DD4B6C" w:rsidTr="00DD4B6C">
        <w:trPr>
          <w:tblCellSpacing w:w="0" w:type="dxa"/>
        </w:trPr>
        <w:tc>
          <w:tcPr>
            <w:tcW w:w="9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Дошкольные образовательные учреждения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56</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45</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45</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1х50</w:t>
            </w:r>
          </w:p>
        </w:tc>
      </w:tr>
      <w:tr w:rsidR="00DD4B6C" w:rsidRPr="00DD4B6C" w:rsidTr="00DD4B6C">
        <w:trPr>
          <w:tblCellSpacing w:w="0" w:type="dxa"/>
        </w:trPr>
        <w:tc>
          <w:tcPr>
            <w:tcW w:w="9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Общеобразовательные школы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112</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25</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87</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 Оек</w:t>
            </w:r>
          </w:p>
        </w:tc>
      </w:tr>
      <w:tr w:rsidR="00DD4B6C" w:rsidRPr="00DD4B6C" w:rsidTr="00DD4B6C">
        <w:trPr>
          <w:tblCellSpacing w:w="0" w:type="dxa"/>
        </w:trPr>
        <w:tc>
          <w:tcPr>
            <w:tcW w:w="9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Амбулатории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посещение в смену</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18,15</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 Оек</w:t>
            </w:r>
          </w:p>
        </w:tc>
      </w:tr>
      <w:tr w:rsidR="00DD4B6C" w:rsidRPr="00DD4B6C" w:rsidTr="00DD4B6C">
        <w:trPr>
          <w:tblCellSpacing w:w="0" w:type="dxa"/>
        </w:trPr>
        <w:tc>
          <w:tcPr>
            <w:tcW w:w="9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ФАП</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пос.</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r>
      <w:tr w:rsidR="00DD4B6C" w:rsidRPr="00DD4B6C" w:rsidTr="00DD4B6C">
        <w:trPr>
          <w:tblCellSpacing w:w="0" w:type="dxa"/>
        </w:trPr>
        <w:tc>
          <w:tcPr>
            <w:tcW w:w="9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Аптеки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пос.</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r>
      <w:tr w:rsidR="00DD4B6C" w:rsidRPr="00DD4B6C" w:rsidTr="00DD4B6C">
        <w:trPr>
          <w:tblCellSpacing w:w="0" w:type="dxa"/>
        </w:trPr>
        <w:tc>
          <w:tcPr>
            <w:tcW w:w="9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Клубы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зрит. 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150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120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120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1х150</w:t>
            </w:r>
          </w:p>
        </w:tc>
      </w:tr>
      <w:tr w:rsidR="00DD4B6C" w:rsidRPr="00DD4B6C" w:rsidTr="00DD4B6C">
        <w:trPr>
          <w:tblCellSpacing w:w="0" w:type="dxa"/>
        </w:trPr>
        <w:tc>
          <w:tcPr>
            <w:tcW w:w="9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Библиотеки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тыс.ед. хранения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1х4 в составе клуба</w:t>
            </w:r>
          </w:p>
        </w:tc>
      </w:tr>
      <w:tr w:rsidR="00DD4B6C" w:rsidRPr="00DD4B6C" w:rsidTr="00DD4B6C">
        <w:trPr>
          <w:tblCellSpacing w:w="0" w:type="dxa"/>
        </w:trPr>
        <w:tc>
          <w:tcPr>
            <w:tcW w:w="9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Магазины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м2 торг. площади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300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300</w:t>
            </w:r>
            <w:hyperlink r:id="rId15" w:anchor="_ftn1" w:history="1">
              <w:r w:rsidRPr="00DD4B6C">
                <w:rPr>
                  <w:rFonts w:ascii="Tahoma" w:eastAsia="Times New Roman" w:hAnsi="Tahoma" w:cs="Tahoma"/>
                  <w:color w:val="44A1C7"/>
                  <w:sz w:val="20"/>
                  <w:szCs w:val="20"/>
                  <w:lang w:eastAsia="ru-RU"/>
                </w:rPr>
                <w:t>[1]</w:t>
              </w:r>
            </w:hyperlink>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30,5</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269,5</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2х100, 1х70</w:t>
            </w:r>
          </w:p>
        </w:tc>
      </w:tr>
      <w:tr w:rsidR="00DD4B6C" w:rsidRPr="00DD4B6C" w:rsidTr="00DD4B6C">
        <w:trPr>
          <w:tblCellSpacing w:w="0" w:type="dxa"/>
        </w:trPr>
        <w:tc>
          <w:tcPr>
            <w:tcW w:w="9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Предприятия общественного питания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40</w:t>
            </w:r>
            <w:hyperlink r:id="rId16" w:anchor="_ftn2" w:history="1">
              <w:r w:rsidRPr="00DD4B6C">
                <w:rPr>
                  <w:rFonts w:ascii="Tahoma" w:eastAsia="Times New Roman" w:hAnsi="Tahoma" w:cs="Tahoma"/>
                  <w:color w:val="44A1C7"/>
                  <w:sz w:val="20"/>
                  <w:szCs w:val="20"/>
                  <w:lang w:eastAsia="ru-RU"/>
                </w:rPr>
                <w:t>[2]</w:t>
              </w:r>
            </w:hyperlink>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2х20</w:t>
            </w:r>
          </w:p>
        </w:tc>
      </w:tr>
      <w:tr w:rsidR="00DD4B6C" w:rsidRPr="00DD4B6C" w:rsidTr="00DD4B6C">
        <w:trPr>
          <w:tblCellSpacing w:w="0" w:type="dxa"/>
        </w:trPr>
        <w:tc>
          <w:tcPr>
            <w:tcW w:w="9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lastRenderedPageBreak/>
              <w:t>Предприятия непосредственного бытового обслуживания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рабочее 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1х3</w:t>
            </w:r>
          </w:p>
        </w:tc>
      </w:tr>
      <w:tr w:rsidR="00DD4B6C" w:rsidRPr="00DD4B6C" w:rsidTr="00DD4B6C">
        <w:trPr>
          <w:tblCellSpacing w:w="0" w:type="dxa"/>
        </w:trPr>
        <w:tc>
          <w:tcPr>
            <w:tcW w:w="9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Спортивные сооружения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га</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0,7-0,9</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0,5-0,7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0,5-0,7</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1х0,7</w:t>
            </w:r>
          </w:p>
        </w:tc>
      </w:tr>
      <w:tr w:rsidR="00DD4B6C" w:rsidRPr="00DD4B6C" w:rsidTr="00DD4B6C">
        <w:trPr>
          <w:tblCellSpacing w:w="0" w:type="dxa"/>
        </w:trPr>
        <w:tc>
          <w:tcPr>
            <w:tcW w:w="9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Спортивные залы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м2 площади пола</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60-80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48-64</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48-64</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1х150</w:t>
            </w:r>
          </w:p>
        </w:tc>
      </w:tr>
      <w:tr w:rsidR="00DD4B6C" w:rsidRPr="00DD4B6C" w:rsidTr="00DD4B6C">
        <w:trPr>
          <w:tblCellSpacing w:w="0" w:type="dxa"/>
        </w:trPr>
        <w:tc>
          <w:tcPr>
            <w:tcW w:w="9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Отделения связи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2-6</w:t>
            </w:r>
            <w:r w:rsidRPr="00DD4B6C">
              <w:rPr>
                <w:rFonts w:ascii="Tahoma" w:eastAsia="Times New Roman" w:hAnsi="Tahoma" w:cs="Tahoma"/>
                <w:color w:val="2C2C2C"/>
                <w:sz w:val="20"/>
                <w:szCs w:val="20"/>
                <w:lang w:eastAsia="ru-RU"/>
              </w:rPr>
              <w:br/>
              <w:t>тыс. чел.</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 Оек</w:t>
            </w:r>
          </w:p>
        </w:tc>
      </w:tr>
    </w:tbl>
    <w:p w:rsidR="00DD4B6C" w:rsidRPr="00DD4B6C" w:rsidRDefault="00DD4B6C" w:rsidP="00DD4B6C">
      <w:pPr>
        <w:spacing w:line="240" w:lineRule="auto"/>
        <w:ind w:firstLine="0"/>
        <w:jc w:val="left"/>
        <w:rPr>
          <w:rFonts w:eastAsia="Times New Roman" w:cs="Times New Roman"/>
          <w:sz w:val="24"/>
          <w:szCs w:val="24"/>
          <w:lang w:eastAsia="ru-RU"/>
        </w:rPr>
      </w:pPr>
      <w:hyperlink r:id="rId17" w:anchor="_ftnref1" w:history="1">
        <w:r w:rsidRPr="00DD4B6C">
          <w:rPr>
            <w:rFonts w:ascii="Tahoma" w:eastAsia="Times New Roman" w:hAnsi="Tahoma" w:cs="Tahoma"/>
            <w:color w:val="44A1C7"/>
            <w:sz w:val="20"/>
            <w:szCs w:val="20"/>
            <w:shd w:val="clear" w:color="auto" w:fill="FFFFFF"/>
            <w:lang w:eastAsia="ru-RU"/>
          </w:rPr>
          <w:t>[1]</w:t>
        </w:r>
      </w:hyperlink>
      <w:r w:rsidRPr="00DD4B6C">
        <w:rPr>
          <w:rFonts w:ascii="Tahoma" w:eastAsia="Times New Roman" w:hAnsi="Tahoma" w:cs="Tahoma"/>
          <w:color w:val="2C2C2C"/>
          <w:sz w:val="20"/>
          <w:szCs w:val="20"/>
          <w:shd w:val="clear" w:color="auto" w:fill="FFFFFF"/>
          <w:lang w:eastAsia="ru-RU"/>
        </w:rPr>
        <w:t>в расчете на полную численность населения населенного пункта с учетом временного (1,0 тыс. чел.)</w:t>
      </w:r>
      <w:r w:rsidRPr="00DD4B6C">
        <w:rPr>
          <w:rFonts w:ascii="Tahoma" w:eastAsia="Times New Roman" w:hAnsi="Tahoma" w:cs="Tahoma"/>
          <w:color w:val="2C2C2C"/>
          <w:sz w:val="20"/>
          <w:szCs w:val="20"/>
          <w:lang w:eastAsia="ru-RU"/>
        </w:rPr>
        <w:br/>
      </w:r>
      <w:hyperlink r:id="rId18" w:anchor="_ftnref2" w:history="1">
        <w:r w:rsidRPr="00DD4B6C">
          <w:rPr>
            <w:rFonts w:ascii="Tahoma" w:eastAsia="Times New Roman" w:hAnsi="Tahoma" w:cs="Tahoma"/>
            <w:color w:val="44A1C7"/>
            <w:sz w:val="20"/>
            <w:szCs w:val="20"/>
            <w:shd w:val="clear" w:color="auto" w:fill="FFFFFF"/>
            <w:lang w:eastAsia="ru-RU"/>
          </w:rPr>
          <w:t>[2]</w:t>
        </w:r>
      </w:hyperlink>
      <w:r w:rsidRPr="00DD4B6C">
        <w:rPr>
          <w:rFonts w:ascii="Tahoma" w:eastAsia="Times New Roman" w:hAnsi="Tahoma" w:cs="Tahoma"/>
          <w:color w:val="2C2C2C"/>
          <w:sz w:val="20"/>
          <w:szCs w:val="20"/>
          <w:shd w:val="clear" w:color="auto" w:fill="FFFFFF"/>
          <w:lang w:eastAsia="ru-RU"/>
        </w:rPr>
        <w:t>в расчете на полную численность населения населенного пункта с учетом временного (1,0 тыс. чел.)</w:t>
      </w:r>
      <w:r w:rsidRPr="00DD4B6C">
        <w:rPr>
          <w:rFonts w:ascii="Tahoma" w:eastAsia="Times New Roman" w:hAnsi="Tahoma" w:cs="Tahoma"/>
          <w:color w:val="2C2C2C"/>
          <w:sz w:val="20"/>
          <w:szCs w:val="20"/>
          <w:lang w:eastAsia="ru-RU"/>
        </w:rPr>
        <w:br/>
      </w:r>
      <w:r w:rsidRPr="00DD4B6C">
        <w:rPr>
          <w:rFonts w:ascii="Tahoma" w:eastAsia="Times New Roman" w:hAnsi="Tahoma" w:cs="Tahoma"/>
          <w:color w:val="2C2C2C"/>
          <w:sz w:val="20"/>
          <w:szCs w:val="20"/>
          <w:lang w:eastAsia="ru-RU"/>
        </w:rPr>
        <w:br/>
      </w:r>
      <w:r w:rsidRPr="00DD4B6C">
        <w:rPr>
          <w:rFonts w:ascii="Tahoma" w:eastAsia="Times New Roman" w:hAnsi="Tahoma" w:cs="Tahoma"/>
          <w:color w:val="2C2C2C"/>
          <w:sz w:val="20"/>
          <w:szCs w:val="20"/>
          <w:lang w:eastAsia="ru-RU"/>
        </w:rPr>
        <w:br/>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Таблица 4.6 Размещение объектов культурно-бытового обслуживания д. Бутырки на расчетный срок</w:t>
      </w:r>
    </w:p>
    <w:tbl>
      <w:tblPr>
        <w:tblW w:w="865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066"/>
        <w:gridCol w:w="1037"/>
        <w:gridCol w:w="891"/>
        <w:gridCol w:w="1047"/>
        <w:gridCol w:w="1374"/>
        <w:gridCol w:w="1502"/>
        <w:gridCol w:w="1422"/>
      </w:tblGrid>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Объекты</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Единица измерения</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Норматив на 1000 жителей</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Требуется на постоянное население</w:t>
            </w:r>
            <w:r w:rsidRPr="00DD4B6C">
              <w:rPr>
                <w:rFonts w:ascii="Tahoma" w:eastAsia="Times New Roman" w:hAnsi="Tahoma" w:cs="Tahoma"/>
                <w:color w:val="2C2C2C"/>
                <w:sz w:val="20"/>
                <w:szCs w:val="20"/>
                <w:lang w:eastAsia="ru-RU"/>
              </w:rPr>
              <w:br/>
              <w:t>2,2 тыс. чел.</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Существующие сохраняемые объекты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Дополнительная потребность</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Предложения по размещению</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Дошкольные образовательные учреждения</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56</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123</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123</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1х125</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Общеобразовательные школы</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308</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275</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33</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1х150</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Поликлиники, амбулатории</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посещение в смену</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18,15</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15</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25</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расширение амбулатории до 60 посещений в смену</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ФАП</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пос.</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расширение существующего</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Аптеки</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пос.</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Клубы</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зрит. место</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150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330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330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1х330</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Библиотеки</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тыс.ед. хранения</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11</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11</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1х11 в составе клуба</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Магазины</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м2 торг. площади</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960</w:t>
            </w:r>
            <w:hyperlink r:id="rId19" w:anchor="_ftn1" w:history="1">
              <w:r w:rsidRPr="00DD4B6C">
                <w:rPr>
                  <w:rFonts w:ascii="Tahoma" w:eastAsia="Times New Roman" w:hAnsi="Tahoma" w:cs="Tahoma"/>
                  <w:color w:val="44A1C7"/>
                  <w:sz w:val="20"/>
                  <w:szCs w:val="20"/>
                  <w:lang w:eastAsia="ru-RU"/>
                </w:rPr>
                <w:t>[1]</w:t>
              </w:r>
            </w:hyperlink>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39,0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921</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3х150, 5х95</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Предприятия общественного питания</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128</w:t>
            </w:r>
            <w:hyperlink r:id="rId20" w:anchor="_ftn2" w:history="1">
              <w:r w:rsidRPr="00DD4B6C">
                <w:rPr>
                  <w:rFonts w:ascii="Tahoma" w:eastAsia="Times New Roman" w:hAnsi="Tahoma" w:cs="Tahoma"/>
                  <w:color w:val="44A1C7"/>
                  <w:sz w:val="20"/>
                  <w:szCs w:val="20"/>
                  <w:lang w:eastAsia="ru-RU"/>
                </w:rPr>
                <w:t>[2]</w:t>
              </w:r>
            </w:hyperlink>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128</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2х50, 1х30</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Предприятия непосредственного бытового обслуживания</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рабочее место</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1х5, 1х4</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Отделения связи</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2-6</w:t>
            </w:r>
            <w:r w:rsidRPr="00DD4B6C">
              <w:rPr>
                <w:rFonts w:ascii="Tahoma" w:eastAsia="Times New Roman" w:hAnsi="Tahoma" w:cs="Tahoma"/>
                <w:color w:val="2C2C2C"/>
                <w:sz w:val="20"/>
                <w:szCs w:val="20"/>
                <w:lang w:eastAsia="ru-RU"/>
              </w:rPr>
              <w:br/>
              <w:t>тыс. чел.</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Отделения банков</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операцион. место</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1-2</w:t>
            </w:r>
            <w:r w:rsidRPr="00DD4B6C">
              <w:rPr>
                <w:rFonts w:ascii="Tahoma" w:eastAsia="Times New Roman" w:hAnsi="Tahoma" w:cs="Tahoma"/>
                <w:color w:val="2C2C2C"/>
                <w:sz w:val="20"/>
                <w:szCs w:val="20"/>
                <w:lang w:eastAsia="ru-RU"/>
              </w:rPr>
              <w:br/>
              <w:t>тыс. чел.</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1-2</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1-2</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lastRenderedPageBreak/>
              <w:t>Спортивные сооружения</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га</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0,7-0,9</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1,5-2,0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1,5-2,0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1х2,0</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Спортивные залы</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м2 площади пола</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60-80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132-176</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132-176</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1х170</w:t>
            </w:r>
          </w:p>
        </w:tc>
      </w:tr>
    </w:tbl>
    <w:p w:rsidR="00DD4B6C" w:rsidRPr="00DD4B6C" w:rsidRDefault="00DD4B6C" w:rsidP="00DD4B6C">
      <w:pPr>
        <w:spacing w:line="240" w:lineRule="auto"/>
        <w:ind w:firstLine="0"/>
        <w:jc w:val="left"/>
        <w:rPr>
          <w:rFonts w:eastAsia="Times New Roman" w:cs="Times New Roman"/>
          <w:sz w:val="24"/>
          <w:szCs w:val="24"/>
          <w:lang w:eastAsia="ru-RU"/>
        </w:rPr>
      </w:pPr>
      <w:hyperlink r:id="rId21" w:anchor="_ftnref1" w:history="1">
        <w:r w:rsidRPr="00DD4B6C">
          <w:rPr>
            <w:rFonts w:ascii="Tahoma" w:eastAsia="Times New Roman" w:hAnsi="Tahoma" w:cs="Tahoma"/>
            <w:color w:val="44A1C7"/>
            <w:sz w:val="20"/>
            <w:szCs w:val="20"/>
            <w:shd w:val="clear" w:color="auto" w:fill="FFFFFF"/>
            <w:lang w:eastAsia="ru-RU"/>
          </w:rPr>
          <w:t>[1]</w:t>
        </w:r>
      </w:hyperlink>
      <w:r w:rsidRPr="00DD4B6C">
        <w:rPr>
          <w:rFonts w:ascii="Tahoma" w:eastAsia="Times New Roman" w:hAnsi="Tahoma" w:cs="Tahoma"/>
          <w:color w:val="2C2C2C"/>
          <w:sz w:val="20"/>
          <w:szCs w:val="20"/>
          <w:shd w:val="clear" w:color="auto" w:fill="FFFFFF"/>
          <w:lang w:eastAsia="ru-RU"/>
        </w:rPr>
        <w:t>в расчете на полную численность населения населенного пункта с учетом временного (3,2 тыс. чел.)</w:t>
      </w:r>
      <w:r w:rsidRPr="00DD4B6C">
        <w:rPr>
          <w:rFonts w:ascii="Tahoma" w:eastAsia="Times New Roman" w:hAnsi="Tahoma" w:cs="Tahoma"/>
          <w:color w:val="2C2C2C"/>
          <w:sz w:val="20"/>
          <w:szCs w:val="20"/>
          <w:lang w:eastAsia="ru-RU"/>
        </w:rPr>
        <w:br/>
      </w:r>
      <w:hyperlink r:id="rId22" w:anchor="_ftnref2" w:history="1">
        <w:r w:rsidRPr="00DD4B6C">
          <w:rPr>
            <w:rFonts w:ascii="Tahoma" w:eastAsia="Times New Roman" w:hAnsi="Tahoma" w:cs="Tahoma"/>
            <w:color w:val="44A1C7"/>
            <w:sz w:val="20"/>
            <w:szCs w:val="20"/>
            <w:shd w:val="clear" w:color="auto" w:fill="FFFFFF"/>
            <w:lang w:eastAsia="ru-RU"/>
          </w:rPr>
          <w:t>[2]</w:t>
        </w:r>
      </w:hyperlink>
      <w:r w:rsidRPr="00DD4B6C">
        <w:rPr>
          <w:rFonts w:ascii="Tahoma" w:eastAsia="Times New Roman" w:hAnsi="Tahoma" w:cs="Tahoma"/>
          <w:color w:val="2C2C2C"/>
          <w:sz w:val="20"/>
          <w:szCs w:val="20"/>
          <w:shd w:val="clear" w:color="auto" w:fill="FFFFFF"/>
          <w:lang w:eastAsia="ru-RU"/>
        </w:rPr>
        <w:t>в расчете на полную численность населения населенного пункта с учетом временного (3,2 тыс. чел.)</w:t>
      </w:r>
      <w:r w:rsidRPr="00DD4B6C">
        <w:rPr>
          <w:rFonts w:ascii="Tahoma" w:eastAsia="Times New Roman" w:hAnsi="Tahoma" w:cs="Tahoma"/>
          <w:color w:val="2C2C2C"/>
          <w:sz w:val="20"/>
          <w:szCs w:val="20"/>
          <w:lang w:eastAsia="ru-RU"/>
        </w:rPr>
        <w:br/>
      </w:r>
      <w:r w:rsidRPr="00DD4B6C">
        <w:rPr>
          <w:rFonts w:ascii="Tahoma" w:eastAsia="Times New Roman" w:hAnsi="Tahoma" w:cs="Tahoma"/>
          <w:color w:val="2C2C2C"/>
          <w:sz w:val="20"/>
          <w:szCs w:val="20"/>
          <w:lang w:eastAsia="ru-RU"/>
        </w:rPr>
        <w:br/>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Таблица 4.7 Размещение объектов первичного культурно-бытового обслуживания д. Коты на расчетный срок</w:t>
      </w:r>
    </w:p>
    <w:tbl>
      <w:tblPr>
        <w:tblW w:w="883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117"/>
        <w:gridCol w:w="1024"/>
        <w:gridCol w:w="911"/>
        <w:gridCol w:w="1071"/>
        <w:gridCol w:w="1406"/>
        <w:gridCol w:w="1538"/>
        <w:gridCol w:w="1272"/>
      </w:tblGrid>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Единица измерения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Норматив на 1000 жителей</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Требуется на постоянное население</w:t>
            </w:r>
            <w:r w:rsidRPr="00DD4B6C">
              <w:rPr>
                <w:rFonts w:ascii="Tahoma" w:eastAsia="Times New Roman" w:hAnsi="Tahoma" w:cs="Tahoma"/>
                <w:color w:val="2C2C2C"/>
                <w:sz w:val="20"/>
                <w:szCs w:val="20"/>
                <w:lang w:eastAsia="ru-RU"/>
              </w:rPr>
              <w:br/>
              <w:t>0,8 тыс. чел.</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Существующие сохраняемые объекты</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Дополнительная потребность</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Предложения по размещению</w:t>
            </w: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Дошкольные образовательные учреждения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56</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45</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45</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1х50</w:t>
            </w: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Общеобразовательные школы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112</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11</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101</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 д. Бутырки</w:t>
            </w: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Амбулатории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посещение в смену</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18,15</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15</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ФАП</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пос.</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Аптеки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пос.</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Клубы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зрит. 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150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120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120</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1х120</w:t>
            </w: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Библиотеки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тыс.ед. хранения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1х4 в составе клуба</w:t>
            </w: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Магазины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м2 торг. площади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300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390</w:t>
            </w:r>
            <w:hyperlink r:id="rId23" w:anchor="_ftn1" w:history="1">
              <w:r w:rsidRPr="00DD4B6C">
                <w:rPr>
                  <w:rFonts w:ascii="Tahoma" w:eastAsia="Times New Roman" w:hAnsi="Tahoma" w:cs="Tahoma"/>
                  <w:color w:val="44A1C7"/>
                  <w:sz w:val="20"/>
                  <w:szCs w:val="20"/>
                  <w:lang w:eastAsia="ru-RU"/>
                </w:rPr>
                <w:t>[1]</w:t>
              </w:r>
            </w:hyperlink>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103,5</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286,5</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3х80, 1х50</w:t>
            </w: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Предприятия общественного питания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40</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52</w:t>
            </w:r>
            <w:hyperlink r:id="rId24" w:anchor="_ftn2" w:history="1">
              <w:r w:rsidRPr="00DD4B6C">
                <w:rPr>
                  <w:rFonts w:ascii="Tahoma" w:eastAsia="Times New Roman" w:hAnsi="Tahoma" w:cs="Tahoma"/>
                  <w:color w:val="44A1C7"/>
                  <w:sz w:val="20"/>
                  <w:szCs w:val="20"/>
                  <w:lang w:eastAsia="ru-RU"/>
                </w:rPr>
                <w:t>[2]</w:t>
              </w:r>
            </w:hyperlink>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52</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2х26</w:t>
            </w: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Предприятия непосредственного бытового обслуживания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рабочее 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1х3</w:t>
            </w: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Спортивные сооружения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га</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0,7-0,9</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0,5-0,7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0,5-0,7</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1х0,6</w:t>
            </w: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Отделения связи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2-6</w:t>
            </w:r>
            <w:r w:rsidRPr="00DD4B6C">
              <w:rPr>
                <w:rFonts w:ascii="Tahoma" w:eastAsia="Times New Roman" w:hAnsi="Tahoma" w:cs="Tahoma"/>
                <w:color w:val="2C2C2C"/>
                <w:sz w:val="20"/>
                <w:szCs w:val="20"/>
                <w:lang w:eastAsia="ru-RU"/>
              </w:rPr>
              <w:br/>
              <w:t>тыс. чел.</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 Бутырки</w:t>
            </w:r>
          </w:p>
        </w:tc>
      </w:tr>
    </w:tbl>
    <w:p w:rsidR="00DD4B6C" w:rsidRPr="00DD4B6C" w:rsidRDefault="00DD4B6C" w:rsidP="00DD4B6C">
      <w:pPr>
        <w:spacing w:line="240" w:lineRule="auto"/>
        <w:ind w:firstLine="0"/>
        <w:jc w:val="left"/>
        <w:rPr>
          <w:rFonts w:eastAsia="Times New Roman" w:cs="Times New Roman"/>
          <w:sz w:val="24"/>
          <w:szCs w:val="24"/>
          <w:lang w:eastAsia="ru-RU"/>
        </w:rPr>
      </w:pPr>
      <w:hyperlink r:id="rId25" w:anchor="_ftnref1" w:history="1">
        <w:r w:rsidRPr="00DD4B6C">
          <w:rPr>
            <w:rFonts w:ascii="Tahoma" w:eastAsia="Times New Roman" w:hAnsi="Tahoma" w:cs="Tahoma"/>
            <w:color w:val="44A1C7"/>
            <w:sz w:val="20"/>
            <w:szCs w:val="20"/>
            <w:shd w:val="clear" w:color="auto" w:fill="FFFFFF"/>
            <w:lang w:eastAsia="ru-RU"/>
          </w:rPr>
          <w:t>[1]</w:t>
        </w:r>
      </w:hyperlink>
      <w:r w:rsidRPr="00DD4B6C">
        <w:rPr>
          <w:rFonts w:ascii="Tahoma" w:eastAsia="Times New Roman" w:hAnsi="Tahoma" w:cs="Tahoma"/>
          <w:color w:val="2C2C2C"/>
          <w:sz w:val="20"/>
          <w:szCs w:val="20"/>
          <w:shd w:val="clear" w:color="auto" w:fill="FFFFFF"/>
          <w:lang w:eastAsia="ru-RU"/>
        </w:rPr>
        <w:t> в расчете на полную численность населения населенного пункта с учетом временного (1,3 тыс. чел.)</w:t>
      </w:r>
      <w:r w:rsidRPr="00DD4B6C">
        <w:rPr>
          <w:rFonts w:ascii="Tahoma" w:eastAsia="Times New Roman" w:hAnsi="Tahoma" w:cs="Tahoma"/>
          <w:color w:val="2C2C2C"/>
          <w:sz w:val="20"/>
          <w:szCs w:val="20"/>
          <w:lang w:eastAsia="ru-RU"/>
        </w:rPr>
        <w:br/>
      </w:r>
      <w:hyperlink r:id="rId26" w:anchor="_ftnref2" w:history="1">
        <w:r w:rsidRPr="00DD4B6C">
          <w:rPr>
            <w:rFonts w:ascii="Tahoma" w:eastAsia="Times New Roman" w:hAnsi="Tahoma" w:cs="Tahoma"/>
            <w:color w:val="44A1C7"/>
            <w:sz w:val="20"/>
            <w:szCs w:val="20"/>
            <w:shd w:val="clear" w:color="auto" w:fill="FFFFFF"/>
            <w:lang w:eastAsia="ru-RU"/>
          </w:rPr>
          <w:t>[2]</w:t>
        </w:r>
      </w:hyperlink>
      <w:r w:rsidRPr="00DD4B6C">
        <w:rPr>
          <w:rFonts w:ascii="Tahoma" w:eastAsia="Times New Roman" w:hAnsi="Tahoma" w:cs="Tahoma"/>
          <w:color w:val="2C2C2C"/>
          <w:sz w:val="20"/>
          <w:szCs w:val="20"/>
          <w:shd w:val="clear" w:color="auto" w:fill="FFFFFF"/>
          <w:lang w:eastAsia="ru-RU"/>
        </w:rPr>
        <w:t> в расчете на полную численность населения населенного пункта с учетом временного (1,3 тыс. чел.)</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Таблица 4.8 Размещение объектов первичного культурно-бытового обслуживания д. Максимовщина на расчетный срок</w:t>
      </w:r>
    </w:p>
    <w:p w:rsidR="00DD4B6C" w:rsidRPr="00DD4B6C" w:rsidRDefault="00DD4B6C" w:rsidP="00DD4B6C">
      <w:pPr>
        <w:spacing w:line="240" w:lineRule="auto"/>
        <w:ind w:firstLine="0"/>
        <w:jc w:val="left"/>
        <w:rPr>
          <w:rFonts w:eastAsia="Times New Roman" w:cs="Times New Roman"/>
          <w:sz w:val="24"/>
          <w:szCs w:val="24"/>
          <w:lang w:eastAsia="ru-RU"/>
        </w:rPr>
      </w:pPr>
    </w:p>
    <w:tbl>
      <w:tblPr>
        <w:tblW w:w="9264"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117"/>
        <w:gridCol w:w="1024"/>
        <w:gridCol w:w="911"/>
        <w:gridCol w:w="1071"/>
        <w:gridCol w:w="1406"/>
        <w:gridCol w:w="1538"/>
        <w:gridCol w:w="1272"/>
      </w:tblGrid>
      <w:tr w:rsidR="00DD4B6C" w:rsidRPr="00DD4B6C" w:rsidTr="00DD4B6C">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lastRenderedPageBreak/>
              <w:t>Объекты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Единица измерения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Норматив на 1000 жителей</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Требуется на постоянное население</w:t>
            </w:r>
            <w:r w:rsidRPr="00DD4B6C">
              <w:rPr>
                <w:rFonts w:ascii="Tahoma" w:eastAsia="Times New Roman" w:hAnsi="Tahoma" w:cs="Tahoma"/>
                <w:color w:val="2C2C2C"/>
                <w:sz w:val="20"/>
                <w:szCs w:val="20"/>
                <w:lang w:eastAsia="ru-RU"/>
              </w:rPr>
              <w:br/>
              <w:t>1,3 тыс. чел.</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Существующие сохраняемые объекты</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Дополнительная потребность</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Предложения по размещению</w:t>
            </w:r>
          </w:p>
        </w:tc>
      </w:tr>
      <w:tr w:rsidR="00DD4B6C" w:rsidRPr="00DD4B6C" w:rsidTr="00DD4B6C">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Дошкольные образовательные учреждения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56</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73</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73</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1х75</w:t>
            </w:r>
          </w:p>
        </w:tc>
      </w:tr>
      <w:tr w:rsidR="00DD4B6C" w:rsidRPr="00DD4B6C" w:rsidTr="00DD4B6C">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Общеобразовательные школы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182</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182</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1х180</w:t>
            </w:r>
          </w:p>
        </w:tc>
      </w:tr>
      <w:tr w:rsidR="00DD4B6C" w:rsidRPr="00DD4B6C" w:rsidTr="00DD4B6C">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Амбулатории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посещение в смену</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18,15</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23</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23</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 д. Бутырки</w:t>
            </w:r>
          </w:p>
        </w:tc>
      </w:tr>
      <w:tr w:rsidR="00DD4B6C" w:rsidRPr="00DD4B6C" w:rsidTr="00DD4B6C">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ФАП</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пос.</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r>
      <w:tr w:rsidR="00DD4B6C" w:rsidRPr="00DD4B6C" w:rsidTr="00DD4B6C">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Аптеки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пос.</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r>
      <w:tr w:rsidR="00DD4B6C" w:rsidRPr="00DD4B6C" w:rsidTr="00DD4B6C">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Клубы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зрит. 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150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195</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195</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1х200</w:t>
            </w:r>
          </w:p>
        </w:tc>
      </w:tr>
      <w:tr w:rsidR="00DD4B6C" w:rsidRPr="00DD4B6C" w:rsidTr="00DD4B6C">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Библиотеки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тыс.ед. хранения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1х6 в составе клуба</w:t>
            </w:r>
          </w:p>
        </w:tc>
      </w:tr>
      <w:tr w:rsidR="00DD4B6C" w:rsidRPr="00DD4B6C" w:rsidTr="00DD4B6C">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Магазины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м2 торг. площади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300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390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53,3</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336,7</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3х100, 1х50</w:t>
            </w:r>
          </w:p>
        </w:tc>
      </w:tr>
      <w:tr w:rsidR="00DD4B6C" w:rsidRPr="00DD4B6C" w:rsidTr="00DD4B6C">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Предприятия общественного питания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52</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52</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2х26</w:t>
            </w:r>
          </w:p>
        </w:tc>
      </w:tr>
      <w:tr w:rsidR="00DD4B6C" w:rsidRPr="00DD4B6C" w:rsidTr="00DD4B6C">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Предприятия непосредственного бытового обслуживания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рабочее 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1х5</w:t>
            </w:r>
          </w:p>
        </w:tc>
      </w:tr>
      <w:tr w:rsidR="00DD4B6C" w:rsidRPr="00DD4B6C" w:rsidTr="00DD4B6C">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Спортивные сооружения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га</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0,7-0,9</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0,9-1,2</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0,9-1,2</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1х0,9</w:t>
            </w:r>
          </w:p>
        </w:tc>
      </w:tr>
      <w:tr w:rsidR="00DD4B6C" w:rsidRPr="00DD4B6C" w:rsidTr="00DD4B6C">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Спортивные залы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м2 площади пола</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60-80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78-104</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78-104</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1х150</w:t>
            </w:r>
          </w:p>
        </w:tc>
      </w:tr>
      <w:tr w:rsidR="00DD4B6C" w:rsidRPr="00DD4B6C" w:rsidTr="00DD4B6C">
        <w:trPr>
          <w:tblCellSpacing w:w="0"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Отделения связи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2-6</w:t>
            </w:r>
            <w:r w:rsidRPr="00DD4B6C">
              <w:rPr>
                <w:rFonts w:ascii="Tahoma" w:eastAsia="Times New Roman" w:hAnsi="Tahoma" w:cs="Tahoma"/>
                <w:color w:val="2C2C2C"/>
                <w:sz w:val="20"/>
                <w:szCs w:val="20"/>
                <w:lang w:eastAsia="ru-RU"/>
              </w:rPr>
              <w:br/>
              <w:t>тыс. чел.</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 д. Бутырки</w:t>
            </w:r>
          </w:p>
        </w:tc>
      </w:tr>
    </w:tbl>
    <w:p w:rsidR="00DD4B6C" w:rsidRPr="00DD4B6C" w:rsidRDefault="00DD4B6C" w:rsidP="00DD4B6C">
      <w:pPr>
        <w:spacing w:line="240" w:lineRule="auto"/>
        <w:ind w:firstLine="0"/>
        <w:jc w:val="left"/>
        <w:rPr>
          <w:rFonts w:eastAsia="Times New Roman" w:cs="Times New Roman"/>
          <w:sz w:val="24"/>
          <w:szCs w:val="24"/>
          <w:lang w:eastAsia="ru-RU"/>
        </w:rPr>
      </w:pPr>
      <w:r w:rsidRPr="00DD4B6C">
        <w:rPr>
          <w:rFonts w:ascii="Tahoma" w:eastAsia="Times New Roman" w:hAnsi="Tahoma" w:cs="Tahoma"/>
          <w:color w:val="2C2C2C"/>
          <w:sz w:val="20"/>
          <w:szCs w:val="20"/>
          <w:lang w:eastAsia="ru-RU"/>
        </w:rPr>
        <w:br/>
      </w:r>
      <w:r w:rsidRPr="00DD4B6C">
        <w:rPr>
          <w:rFonts w:ascii="Tahoma" w:eastAsia="Times New Roman" w:hAnsi="Tahoma" w:cs="Tahoma"/>
          <w:color w:val="2C2C2C"/>
          <w:sz w:val="20"/>
          <w:szCs w:val="20"/>
          <w:shd w:val="clear" w:color="auto" w:fill="FFFFFF"/>
          <w:lang w:eastAsia="ru-RU"/>
        </w:rPr>
        <w:t>Таблица 4.9 Размещение объектов культурно-бытового обслуживания д. Галки на расчетный срок</w:t>
      </w:r>
    </w:p>
    <w:tbl>
      <w:tblPr>
        <w:tblW w:w="9516"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155"/>
        <w:gridCol w:w="1081"/>
        <w:gridCol w:w="928"/>
        <w:gridCol w:w="1091"/>
        <w:gridCol w:w="1432"/>
        <w:gridCol w:w="1566"/>
        <w:gridCol w:w="1295"/>
      </w:tblGrid>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Объекты</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Единица измерения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Норматив на 1000 жителей</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Требуется на постоянное население</w:t>
            </w:r>
            <w:r w:rsidRPr="00DD4B6C">
              <w:rPr>
                <w:rFonts w:ascii="Tahoma" w:eastAsia="Times New Roman" w:hAnsi="Tahoma" w:cs="Tahoma"/>
                <w:color w:val="2C2C2C"/>
                <w:sz w:val="20"/>
                <w:szCs w:val="20"/>
                <w:lang w:eastAsia="ru-RU"/>
              </w:rPr>
              <w:br/>
              <w:t>2,0 тыс. чел.</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Существующие сохраняемые объекты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Дополнительная потребность</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Предложения по размещению</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Дошкольные образовательные учреждения</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56</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112</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112</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1х120</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Общеобразовательные школы</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280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280</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1х400</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Поликлиники, амбулатории</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посещение в смену</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18,15</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36</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36</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1х50</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ФАП</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пос.</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Аптеки</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пос.</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Клубы</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зрит. 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150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300</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1х410</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lastRenderedPageBreak/>
              <w:t>Библиотеки</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тыс.ед. хранения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1х15 в составе клуба</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Магазины</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м2 торг. площади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300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870</w:t>
            </w:r>
            <w:hyperlink r:id="rId27" w:anchor="_ftn1" w:history="1">
              <w:r w:rsidRPr="00DD4B6C">
                <w:rPr>
                  <w:rFonts w:ascii="Tahoma" w:eastAsia="Times New Roman" w:hAnsi="Tahoma" w:cs="Tahoma"/>
                  <w:color w:val="44A1C7"/>
                  <w:sz w:val="20"/>
                  <w:szCs w:val="20"/>
                  <w:lang w:eastAsia="ru-RU"/>
                </w:rPr>
                <w:t>[1]</w:t>
              </w:r>
            </w:hyperlink>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375.0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495</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3х100, 3х50, 1х45</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Предприятия общественного питания</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116</w:t>
            </w:r>
            <w:hyperlink r:id="rId28" w:anchor="_ftn2" w:history="1">
              <w:r w:rsidRPr="00DD4B6C">
                <w:rPr>
                  <w:rFonts w:ascii="Tahoma" w:eastAsia="Times New Roman" w:hAnsi="Tahoma" w:cs="Tahoma"/>
                  <w:color w:val="44A1C7"/>
                  <w:sz w:val="20"/>
                  <w:szCs w:val="20"/>
                  <w:lang w:eastAsia="ru-RU"/>
                </w:rPr>
                <w:t>[2]</w:t>
              </w:r>
            </w:hyperlink>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116</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2х58</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Предприятия непосредственного бытового обслуживания</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рабочее 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8</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8</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1х8</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Отделения связи</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2-6</w:t>
            </w:r>
            <w:r w:rsidRPr="00DD4B6C">
              <w:rPr>
                <w:rFonts w:ascii="Tahoma" w:eastAsia="Times New Roman" w:hAnsi="Tahoma" w:cs="Tahoma"/>
                <w:color w:val="2C2C2C"/>
                <w:sz w:val="20"/>
                <w:szCs w:val="20"/>
                <w:lang w:eastAsia="ru-RU"/>
              </w:rPr>
              <w:br/>
              <w:t>тыс. чел.</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Отделения банков</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операцион. 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1-2</w:t>
            </w:r>
            <w:r w:rsidRPr="00DD4B6C">
              <w:rPr>
                <w:rFonts w:ascii="Tahoma" w:eastAsia="Times New Roman" w:hAnsi="Tahoma" w:cs="Tahoma"/>
                <w:color w:val="2C2C2C"/>
                <w:sz w:val="20"/>
                <w:szCs w:val="20"/>
                <w:lang w:eastAsia="ru-RU"/>
              </w:rPr>
              <w:br/>
              <w:t>тыс. чел.</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1-2</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1-2</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Спортивные сооружения</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га</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0,7-0,9</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1,4-1,8</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1,4-1,8</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1х2,0</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Спортивные залы</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м2 площади пола</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60-80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120-160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120-160</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1х150</w:t>
            </w:r>
          </w:p>
        </w:tc>
      </w:tr>
    </w:tbl>
    <w:p w:rsidR="00DD4B6C" w:rsidRPr="00DD4B6C" w:rsidRDefault="00DD4B6C" w:rsidP="00DD4B6C">
      <w:pPr>
        <w:spacing w:line="240" w:lineRule="auto"/>
        <w:ind w:firstLine="0"/>
        <w:jc w:val="left"/>
        <w:rPr>
          <w:rFonts w:eastAsia="Times New Roman" w:cs="Times New Roman"/>
          <w:sz w:val="24"/>
          <w:szCs w:val="24"/>
          <w:lang w:eastAsia="ru-RU"/>
        </w:rPr>
      </w:pPr>
      <w:hyperlink r:id="rId29" w:anchor="_ftnref1" w:history="1">
        <w:r w:rsidRPr="00DD4B6C">
          <w:rPr>
            <w:rFonts w:ascii="Tahoma" w:eastAsia="Times New Roman" w:hAnsi="Tahoma" w:cs="Tahoma"/>
            <w:color w:val="44A1C7"/>
            <w:sz w:val="20"/>
            <w:szCs w:val="20"/>
            <w:shd w:val="clear" w:color="auto" w:fill="FFFFFF"/>
            <w:lang w:eastAsia="ru-RU"/>
          </w:rPr>
          <w:t>[1]</w:t>
        </w:r>
      </w:hyperlink>
      <w:r w:rsidRPr="00DD4B6C">
        <w:rPr>
          <w:rFonts w:ascii="Tahoma" w:eastAsia="Times New Roman" w:hAnsi="Tahoma" w:cs="Tahoma"/>
          <w:color w:val="2C2C2C"/>
          <w:sz w:val="20"/>
          <w:szCs w:val="20"/>
          <w:shd w:val="clear" w:color="auto" w:fill="FFFFFF"/>
          <w:lang w:eastAsia="ru-RU"/>
        </w:rPr>
        <w:t>в расчете на полную численность населения населенного пункта с учетом временного (2,9 тыс. чел.)</w:t>
      </w:r>
      <w:r w:rsidRPr="00DD4B6C">
        <w:rPr>
          <w:rFonts w:ascii="Tahoma" w:eastAsia="Times New Roman" w:hAnsi="Tahoma" w:cs="Tahoma"/>
          <w:color w:val="2C2C2C"/>
          <w:sz w:val="20"/>
          <w:szCs w:val="20"/>
          <w:lang w:eastAsia="ru-RU"/>
        </w:rPr>
        <w:br/>
      </w:r>
      <w:hyperlink r:id="rId30" w:anchor="_ftnref2" w:history="1">
        <w:r w:rsidRPr="00DD4B6C">
          <w:rPr>
            <w:rFonts w:ascii="Tahoma" w:eastAsia="Times New Roman" w:hAnsi="Tahoma" w:cs="Tahoma"/>
            <w:color w:val="44A1C7"/>
            <w:sz w:val="20"/>
            <w:szCs w:val="20"/>
            <w:shd w:val="clear" w:color="auto" w:fill="FFFFFF"/>
            <w:lang w:eastAsia="ru-RU"/>
          </w:rPr>
          <w:t>[2]</w:t>
        </w:r>
      </w:hyperlink>
      <w:r w:rsidRPr="00DD4B6C">
        <w:rPr>
          <w:rFonts w:ascii="Tahoma" w:eastAsia="Times New Roman" w:hAnsi="Tahoma" w:cs="Tahoma"/>
          <w:color w:val="2C2C2C"/>
          <w:sz w:val="20"/>
          <w:szCs w:val="20"/>
          <w:shd w:val="clear" w:color="auto" w:fill="FFFFFF"/>
          <w:lang w:eastAsia="ru-RU"/>
        </w:rPr>
        <w:t>в расчете на полную численность населения населенного пункта с учетом временного (2,9 тыс. чел.)</w:t>
      </w:r>
      <w:r w:rsidRPr="00DD4B6C">
        <w:rPr>
          <w:rFonts w:ascii="Tahoma" w:eastAsia="Times New Roman" w:hAnsi="Tahoma" w:cs="Tahoma"/>
          <w:color w:val="2C2C2C"/>
          <w:sz w:val="20"/>
          <w:szCs w:val="20"/>
          <w:lang w:eastAsia="ru-RU"/>
        </w:rPr>
        <w:br/>
      </w:r>
      <w:r w:rsidRPr="00DD4B6C">
        <w:rPr>
          <w:rFonts w:ascii="Tahoma" w:eastAsia="Times New Roman" w:hAnsi="Tahoma" w:cs="Tahoma"/>
          <w:color w:val="2C2C2C"/>
          <w:sz w:val="20"/>
          <w:szCs w:val="20"/>
          <w:lang w:eastAsia="ru-RU"/>
        </w:rPr>
        <w:br/>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Таблица 4.10 Размещение объектов первичного культурно-бытового обслуживания д. Мишонкова на расчетный срок</w:t>
      </w:r>
    </w:p>
    <w:tbl>
      <w:tblPr>
        <w:tblW w:w="9036"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077"/>
        <w:gridCol w:w="1005"/>
        <w:gridCol w:w="895"/>
        <w:gridCol w:w="1225"/>
        <w:gridCol w:w="1380"/>
        <w:gridCol w:w="1509"/>
        <w:gridCol w:w="1248"/>
      </w:tblGrid>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Единица измерения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Норматив на 1000 жителей</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Требуется на постоянное население0,7 тыс. чел.</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Существующие сохраняемые объекты</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Дополнительная потребность</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Предложения по размещению</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Дошкольные образовательные учреждения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56</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39</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39</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1х50</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Общеобразовательные школы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98</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98</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 Галки</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Амбулатории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посещение в смену</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18,15</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13</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13</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 Галки</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ФАП</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пос.</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Аптеки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пос.</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Клубы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зрит. 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150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105</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105</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 Галки</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Библиотеки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тыс.ед. хранения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3,5</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3,5</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 Галки</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Магазины</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м2 торг. площади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300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210</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210</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2х105</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Предприятия общественного питания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28</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28</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1х30</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Предприятия непосредственного бытового обслуживания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рабочее место</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1х3</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lastRenderedPageBreak/>
              <w:t>Спортивные сооружения</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га</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0,7-0,9</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0,5-0,6</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0,5-0,6</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1х0,5</w:t>
            </w:r>
          </w:p>
        </w:tc>
      </w:tr>
      <w:tr w:rsidR="00DD4B6C" w:rsidRPr="00DD4B6C" w:rsidTr="00DD4B6C">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Отделения связи</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2-6</w:t>
            </w:r>
            <w:r w:rsidRPr="00DD4B6C">
              <w:rPr>
                <w:rFonts w:ascii="Tahoma" w:eastAsia="Times New Roman" w:hAnsi="Tahoma" w:cs="Tahoma"/>
                <w:color w:val="2C2C2C"/>
                <w:sz w:val="20"/>
                <w:szCs w:val="20"/>
                <w:lang w:eastAsia="ru-RU"/>
              </w:rPr>
              <w:br/>
              <w:t>тыс. чел.</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 Галки</w:t>
            </w:r>
          </w:p>
        </w:tc>
      </w:tr>
    </w:tbl>
    <w:p w:rsidR="00DD4B6C" w:rsidRPr="00DD4B6C" w:rsidRDefault="00DD4B6C" w:rsidP="00DD4B6C">
      <w:pPr>
        <w:spacing w:line="240" w:lineRule="auto"/>
        <w:ind w:firstLine="0"/>
        <w:jc w:val="left"/>
        <w:rPr>
          <w:rFonts w:eastAsia="Times New Roman" w:cs="Times New Roman"/>
          <w:sz w:val="24"/>
          <w:szCs w:val="24"/>
          <w:lang w:eastAsia="ru-RU"/>
        </w:rPr>
      </w:pPr>
      <w:r w:rsidRPr="00DD4B6C">
        <w:rPr>
          <w:rFonts w:ascii="Tahoma" w:eastAsia="Times New Roman" w:hAnsi="Tahoma" w:cs="Tahoma"/>
          <w:color w:val="2C2C2C"/>
          <w:sz w:val="20"/>
          <w:szCs w:val="20"/>
          <w:lang w:eastAsia="ru-RU"/>
        </w:rPr>
        <w:br/>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Таблица 4.11 Размещение объектов первичного культурно-бытового обслуживания д. Жердовка на расчетный срок</w:t>
      </w:r>
    </w:p>
    <w:tbl>
      <w:tblPr>
        <w:tblW w:w="8148"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117"/>
        <w:gridCol w:w="1024"/>
        <w:gridCol w:w="911"/>
        <w:gridCol w:w="1071"/>
        <w:gridCol w:w="1406"/>
        <w:gridCol w:w="1538"/>
        <w:gridCol w:w="1272"/>
      </w:tblGrid>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Объекты</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Единица измерения</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Норматив на 1000 жителей</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Требуется на постоянное население</w:t>
            </w:r>
            <w:r w:rsidRPr="00DD4B6C">
              <w:rPr>
                <w:rFonts w:ascii="Tahoma" w:eastAsia="Times New Roman" w:hAnsi="Tahoma" w:cs="Tahoma"/>
                <w:color w:val="2C2C2C"/>
                <w:sz w:val="20"/>
                <w:szCs w:val="20"/>
                <w:lang w:eastAsia="ru-RU"/>
              </w:rPr>
              <w:br/>
              <w:t>0,8 тыс. чел.</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Существующие сохраняемые объекты</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Дополнительная потребность</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Предложения по размещению</w:t>
            </w: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Дошкольные образовательные учреждения</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56</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45</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45</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1х50</w:t>
            </w: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Общеобразовательные школы</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112</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112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1х120</w:t>
            </w: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Амбулатории</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посещение в смену</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18,15</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15</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15</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ФАП</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пос.</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Аптеки</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пос.</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Клубы</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зрит. место</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150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120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120</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1х120</w:t>
            </w: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Библиотеки</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тыс.ед. хранения</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1х4 в составе клуба</w:t>
            </w: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Магазины</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м2 торг. площади</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300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240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1 149,0</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Предприятия общественного питания</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место</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40</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32</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32</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1х32</w:t>
            </w: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Предприятия непосредственного бытового обслуживания</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рабочее место</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1х3</w:t>
            </w: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Спортивные сооружения</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га</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0,7-0,9</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0,6-0,7</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0,6-0,7</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1х0,6</w:t>
            </w:r>
          </w:p>
        </w:tc>
      </w:tr>
      <w:tr w:rsidR="00DD4B6C" w:rsidRPr="00DD4B6C" w:rsidTr="00DD4B6C">
        <w:trPr>
          <w:tblCellSpacing w:w="0" w:type="dxa"/>
        </w:trPr>
        <w:tc>
          <w:tcPr>
            <w:tcW w:w="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Отделения связи</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w:t>
            </w:r>
          </w:p>
        </w:tc>
        <w:tc>
          <w:tcPr>
            <w:tcW w:w="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 на 2-6</w:t>
            </w:r>
            <w:r w:rsidRPr="00DD4B6C">
              <w:rPr>
                <w:rFonts w:ascii="Tahoma" w:eastAsia="Times New Roman" w:hAnsi="Tahoma" w:cs="Tahoma"/>
                <w:color w:val="2C2C2C"/>
                <w:sz w:val="20"/>
                <w:szCs w:val="20"/>
                <w:lang w:eastAsia="ru-RU"/>
              </w:rPr>
              <w:br/>
              <w:t>тыс. чел.</w:t>
            </w:r>
          </w:p>
        </w:tc>
        <w:tc>
          <w:tcPr>
            <w:tcW w:w="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8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 Оек</w:t>
            </w:r>
          </w:p>
        </w:tc>
      </w:tr>
    </w:tbl>
    <w:p w:rsidR="00DD4B6C" w:rsidRPr="00DD4B6C" w:rsidRDefault="00DD4B6C" w:rsidP="00DD4B6C">
      <w:pPr>
        <w:spacing w:line="240" w:lineRule="auto"/>
        <w:ind w:firstLine="0"/>
        <w:jc w:val="left"/>
        <w:rPr>
          <w:rFonts w:eastAsia="Times New Roman" w:cs="Times New Roman"/>
          <w:sz w:val="24"/>
          <w:szCs w:val="24"/>
          <w:lang w:eastAsia="ru-RU"/>
        </w:rPr>
      </w:pPr>
      <w:r w:rsidRPr="00DD4B6C">
        <w:rPr>
          <w:rFonts w:ascii="Tahoma" w:eastAsia="Times New Roman" w:hAnsi="Tahoma" w:cs="Tahoma"/>
          <w:color w:val="2C2C2C"/>
          <w:sz w:val="20"/>
          <w:szCs w:val="20"/>
          <w:lang w:eastAsia="ru-RU"/>
        </w:rPr>
        <w:br/>
      </w: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5. ПРЕДЛОЖЕНИЯ ПО ПОВЫШЕНИЮ ДОСТУПНОСТИ СРЕДЫ ДЛЯ МАЛОМОБИЛЬНЫХ ГРУПП НАСЕЛЕНИЯ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При проектировании, строительстве и реконструкции объектов социальной инфраструктуры необходимо предусматривать универсальную без барьерную среду для беспрепятственного доступа к объектам и услугам всех категорий граждан, в том числе инвалидов и граждан других маломобильных групп населения (к которым могут быть отнесены люди преклонного возраста, с временными или длительными нарушениями здоровья и функций движения, беременные женщины, люди с детскими колясками и другие).</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Для инвалидов и граждан других маломобильных групп населения требования к проектированию, строительству и реконструкции объектов социальной инфраструктуры определяются следующими нормативными документами: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lastRenderedPageBreak/>
        <w:t>СП 59.13330.2012 «Свод правил. Доступность зданий и сооружений для маломобильных групп населения. Актуализированная редакция СНиП 35-01.2001»;</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СП 35-101-2001 «Проектирование зданий и сооружений с учетом доступности для маломобильных групп населения. Общие положения»;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СП 35-102-2001 «Жилая среда с планировочными элементами, доступными инвалидам»;</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СП 31-102-99 «Требования доступности общественных зданий и сооружений для инвалидов и других маломобильных посетителей»;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СП 35-103-2001 «Общественные здания и сооружения, доступные маломобильным посетителям»;</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РДС 35-201-99 «Система нормативных документов в строительстве. Руководящий документ системы. Порядок реализации требований доступности для инвалидов к объектам социальной инфраструктуры».</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Здания и сооружения объектов социальной инфраструктуры рекомендуется проектировать с учетом критериев доступности, безопасности, удобства и информативности: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Возможности беспрепятственно достигнуть места обслуживания и воспользоваться предоставленным обслуживанием;</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Беспрепятственного движения по коммуникационным путям, помещениям и пространствам;</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Возможности своевременно воспользоваться местами отдыха, ожидания и сопутствующего обслуживания;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Возможность избежать травм, ранений, увечий, излишней усталости из- за свойств архитектурной среды зданий;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Возможность своевременного опознавания и реагирования на места и зоны риска;</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Предупреждение потребителей о зонах, представляющих потенциальную опасность;</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Своевременное распознавание ориентиров в архитектурной среде общественных зданий;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Точную идентификацию своего места нахождения и мест, являющихся целью посещения;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Использование средств информирования, соответствующих особенностям различных групп потребителей;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Возможность эффективной ориентации посетителя, как в светлое, так и в темное время суток;</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Сокращение времени и усилий на получение необходимой информации;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Возможность иметь непрерывную информационную поддержку на всем пути следования по зданию.</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6. СТОИМОСТЬ РЕАЛИЗАЦИИ МЕРОПРИЯТИЙ И ИСТОЧНИКИ ФИНАНСИРОВАНИЯ ПО РАЗВИТИЮ СЕТИ ОБЪЕКТОВ СОЦИАЛЬНОЙ ИНФРАСТРУКТУРЫ</w:t>
      </w:r>
    </w:p>
    <w:p w:rsidR="00DD4B6C" w:rsidRPr="00DD4B6C" w:rsidRDefault="00DD4B6C" w:rsidP="00DD4B6C">
      <w:pPr>
        <w:shd w:val="clear" w:color="auto" w:fill="FFFFFF"/>
        <w:spacing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Оценка объемов и источников финансирования мероприятий по проектированию, строительству, реконструкции объектов социальной инфраструктуры сельского поселения включает укрупненную оценку необходимых инвестиций с разбивкой по видам объектов, источникам финансирования, включая средства бюджетов всех уровней и внебюджетные средства. Методика определения стоимости реализации мероприятий по проектированию, строительству и реконструкции объектов социальной инфраструктуры предполагает несколько вариантов:</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расчет по сборнику Государственные сметные нормативы. НЦС 81-02-2014. Укрупненные нормативы цены строительства. НЦС-2014;</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расчет по сборнику укрупненных показателей затрат по застройке, инженерному оборудованию, благоустройству и озеленению городов различной величины и народнохозяйственного профиля для всех климатических зон страны», разработанного ЦНИИП градостроительства в 1986 г.;</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определение в соответствии с данными программ социально-экономического развития регионального и/или местного уровней;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определение на основе объектов-аналогов из сети Интернет.</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xml:space="preserve">Для мероприятий, предусмотренных программами социально-экономического развития регионального и/или местного уровня, стоимость их реализации определена в соответствии с </w:t>
      </w:r>
      <w:r w:rsidRPr="00DD4B6C">
        <w:rPr>
          <w:rFonts w:ascii="Tahoma" w:eastAsia="Times New Roman" w:hAnsi="Tahoma" w:cs="Tahoma"/>
          <w:color w:val="2C2C2C"/>
          <w:sz w:val="20"/>
          <w:szCs w:val="20"/>
          <w:lang w:eastAsia="ru-RU"/>
        </w:rPr>
        <w:lastRenderedPageBreak/>
        <w:t>данными программ. Для иных мероприятий, стоимость их реализации определена либо на основании расчетов, либо установлена с использованием данных по объектам-аналогам.</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Определение стоимости реализации мероприятий на основе объектов- аналогов из сети Интернет основано на выполнении анализа рынка строящихся объектов социальной сферы на территории Иркутской области и других регионов Российской федерации, имеющих сходные характеристики с планируемыми к строительству объектами на территории ОекскогоМО.</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Кроме того, были использованы ориентировочные цены, указанные в:</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Письме Федерального агентства по строительству и жилищно -</w:t>
      </w:r>
      <w:r w:rsidRPr="00DD4B6C">
        <w:rPr>
          <w:rFonts w:ascii="Tahoma" w:eastAsia="Times New Roman" w:hAnsi="Tahoma" w:cs="Tahoma"/>
          <w:color w:val="2C2C2C"/>
          <w:sz w:val="20"/>
          <w:szCs w:val="20"/>
          <w:lang w:eastAsia="ru-RU"/>
        </w:rPr>
        <w:softHyphen/>
        <w:t>коммунальному хозяйству от 16.04.2013 №3145-БМ/12/П, с учетом среднего коэффициента инфляции 7%.</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Приложениях 3,4 к приказу Министерства строительства и жилищно- коммунального хозяйства РФ от 28 августа 2014г. №506/пр.</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Таблица 6.1 - Затраты на реализацию мероприятий по проектированию, строительству, реконструкции объектов социальной инфраструктуры, тыс. руб.</w:t>
      </w:r>
    </w:p>
    <w:tbl>
      <w:tblPr>
        <w:tblW w:w="8724"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100"/>
        <w:gridCol w:w="759"/>
        <w:gridCol w:w="759"/>
        <w:gridCol w:w="1108"/>
        <w:gridCol w:w="1981"/>
        <w:gridCol w:w="855"/>
        <w:gridCol w:w="1162"/>
      </w:tblGrid>
      <w:tr w:rsidR="00DD4B6C" w:rsidRPr="00DD4B6C" w:rsidTr="00DD4B6C">
        <w:trPr>
          <w:tblCellSpacing w:w="0" w:type="dxa"/>
        </w:trPr>
        <w:tc>
          <w:tcPr>
            <w:tcW w:w="12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Наименование мероприятия, индикатор реализации</w:t>
            </w:r>
          </w:p>
        </w:tc>
        <w:tc>
          <w:tcPr>
            <w:tcW w:w="2950" w:type="pct"/>
            <w:gridSpan w:val="5"/>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2018-2022 гг.</w:t>
            </w:r>
          </w:p>
        </w:tc>
        <w:tc>
          <w:tcPr>
            <w:tcW w:w="75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Расчетный срок, 2030г</w:t>
            </w:r>
          </w:p>
        </w:tc>
      </w:tr>
      <w:tr w:rsidR="00DD4B6C" w:rsidRPr="00DD4B6C" w:rsidTr="00DD4B6C">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2018 г.</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2019 г.</w:t>
            </w:r>
          </w:p>
        </w:tc>
        <w:tc>
          <w:tcPr>
            <w:tcW w:w="9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2020 г.</w:t>
            </w:r>
          </w:p>
        </w:tc>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2021 г.</w:t>
            </w:r>
          </w:p>
        </w:tc>
        <w:tc>
          <w:tcPr>
            <w:tcW w:w="11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2022 г.</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Образование</w:t>
            </w: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Строительство двух детских садов, вместимостью по 150 человек каждый (2х 150)</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240" w:line="240" w:lineRule="auto"/>
              <w:ind w:firstLine="0"/>
              <w:rPr>
                <w:rFonts w:ascii="Tahoma" w:eastAsia="Times New Roman" w:hAnsi="Tahoma" w:cs="Tahoma"/>
                <w:color w:val="2C2C2C"/>
                <w:sz w:val="20"/>
                <w:szCs w:val="20"/>
                <w:lang w:eastAsia="ru-RU"/>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240" w:line="240" w:lineRule="auto"/>
              <w:ind w:firstLine="0"/>
              <w:rPr>
                <w:rFonts w:ascii="Tahoma" w:eastAsia="Times New Roman" w:hAnsi="Tahoma" w:cs="Tahoma"/>
                <w:color w:val="2C2C2C"/>
                <w:sz w:val="20"/>
                <w:szCs w:val="20"/>
                <w:lang w:eastAsia="ru-RU"/>
              </w:rPr>
            </w:pP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br/>
              <w:t>380000,0</w:t>
            </w: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Строительство дополнительного здания общеобразовательной школы с.Оек на 500 мест</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240" w:line="240" w:lineRule="auto"/>
              <w:ind w:firstLine="0"/>
              <w:rPr>
                <w:rFonts w:ascii="Tahoma" w:eastAsia="Times New Roman" w:hAnsi="Tahoma" w:cs="Tahoma"/>
                <w:color w:val="2C2C2C"/>
                <w:sz w:val="20"/>
                <w:szCs w:val="20"/>
                <w:lang w:eastAsia="ru-RU"/>
              </w:rPr>
            </w:pP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br/>
              <w:t>1000000,0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Строительство общеобразовательной школы д.Галки на 400 мест</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br/>
              <w:t>1000000,0</w:t>
            </w:r>
          </w:p>
        </w:tc>
      </w:tr>
      <w:tr w:rsidR="00DD4B6C" w:rsidRPr="00DD4B6C" w:rsidTr="00DD4B6C">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Здравоохранение</w:t>
            </w: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Строительство поликлиники (амбулатории) на 100 посещений в сутки, в т.ч. станция скорой медицинской помощи</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240"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r w:rsidRPr="00DD4B6C">
              <w:rPr>
                <w:rFonts w:ascii="Tahoma" w:eastAsia="Times New Roman" w:hAnsi="Tahoma" w:cs="Tahoma"/>
                <w:color w:val="2C2C2C"/>
                <w:sz w:val="20"/>
                <w:szCs w:val="20"/>
                <w:lang w:eastAsia="ru-RU"/>
              </w:rPr>
              <w:br/>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br/>
              <w:t>275017,0</w:t>
            </w: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Строительство ФАПовв д.Галки, д.Жердовка, д.Зыкова, д.Коты, д.Бутырки, д.Максимовщина</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br/>
              <w:t>42000,0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240" w:line="240" w:lineRule="auto"/>
              <w:ind w:firstLine="0"/>
              <w:rPr>
                <w:rFonts w:ascii="Tahoma" w:eastAsia="Times New Roman" w:hAnsi="Tahoma" w:cs="Tahoma"/>
                <w:color w:val="2C2C2C"/>
                <w:sz w:val="20"/>
                <w:szCs w:val="20"/>
                <w:lang w:eastAsia="ru-RU"/>
              </w:rPr>
            </w:pP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Спортивные объекты</w:t>
            </w: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Строительство спортивного зала на 400 м2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br/>
              <w:t>22700,0</w:t>
            </w: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Территория открытых плоскостных спортивных сооружений</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br/>
              <w:t>5000,0</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br/>
              <w:t>5000,0</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r>
      <w:tr w:rsidR="00DD4B6C" w:rsidRPr="00DD4B6C" w:rsidTr="00DD4B6C">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lastRenderedPageBreak/>
              <w:t>Культура</w:t>
            </w: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Строительство культурно-досугового центра общей вместимостью на 330 мест, в т.ч. Библиотека на 20 мест-</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br/>
              <w:t>680000,0</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240"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Итого, по срокам реализации</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42000,0</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5000,0</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1000000,0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73000,0</w:t>
            </w:r>
          </w:p>
        </w:tc>
        <w:tc>
          <w:tcPr>
            <w:tcW w:w="7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1677717,0</w:t>
            </w:r>
          </w:p>
        </w:tc>
      </w:tr>
      <w:tr w:rsidR="00DD4B6C" w:rsidRPr="00DD4B6C" w:rsidTr="00DD4B6C">
        <w:trPr>
          <w:tblCellSpacing w:w="0" w:type="dxa"/>
        </w:trPr>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Итого по программе</w:t>
            </w:r>
          </w:p>
        </w:tc>
        <w:tc>
          <w:tcPr>
            <w:tcW w:w="3750" w:type="pct"/>
            <w:gridSpan w:val="6"/>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2797717,0</w:t>
            </w:r>
          </w:p>
        </w:tc>
      </w:tr>
    </w:tbl>
    <w:p w:rsidR="00DD4B6C" w:rsidRPr="00DD4B6C" w:rsidRDefault="00DD4B6C" w:rsidP="00DD4B6C">
      <w:pPr>
        <w:spacing w:line="240" w:lineRule="auto"/>
        <w:ind w:firstLine="0"/>
        <w:jc w:val="left"/>
        <w:rPr>
          <w:rFonts w:eastAsia="Times New Roman" w:cs="Times New Roman"/>
          <w:sz w:val="24"/>
          <w:szCs w:val="24"/>
          <w:lang w:eastAsia="ru-RU"/>
        </w:rPr>
      </w:pPr>
      <w:r w:rsidRPr="00DD4B6C">
        <w:rPr>
          <w:rFonts w:ascii="Tahoma" w:eastAsia="Times New Roman" w:hAnsi="Tahoma" w:cs="Tahoma"/>
          <w:color w:val="2C2C2C"/>
          <w:sz w:val="20"/>
          <w:szCs w:val="20"/>
          <w:lang w:eastAsia="ru-RU"/>
        </w:rPr>
        <w:br/>
      </w: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7. ЦЕЛЕВЫЕ ИНДИКАТОРЫ ПРОГРАММЫ</w:t>
      </w: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Основными факторами, определяющими направления разработки Программы комплексного развития системы социальной инфраструктуры Оекского муниципального образования на 2018-2030 годы, являются тенденции социально-экономического развития поселения, характеризующиеся увеличением численности населения, развитием рынка жилья, сфер обслуживания.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Реализация Программы должна создать предпосылки для устойчивого развития Оекского муниципального образования. Реализации инвестиционных проектов заложат основы социальных условий для развития способностей каждого человека, они будут обеспечены за счет повышения качества и доступности социальных услуг (образования, здравоохранения, культуры и социального обеспечения) для всех категорий жителей.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Основными целевыми индикаторами реализации мероприятий программы комплексного развития социальной инфраструктуры поселения являются: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-рост ожидаемой продолжительности жизни населения Оекского муниципального образования;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-увеличение показателя рождаемости;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-сокращение уровня безработицы;</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-увеличение доли детей в возрасте от 3 до 7 лет, охваченных дошкольным образованием;</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-увеличение доли детей охваченных школьным образованием;</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-увеличение уровня обеспеченности населения объектами здравоохранения;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-увеличение доли населения обеспеченной объектами культуры в соответствии с нормативными значениями;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-увеличение доли населения обеспеченной спортивными объектами в соответствии с нормативными значениями;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-увеличение количества населения, систематически занимающегося физической культурой и спортом.</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Выполнение включённых в Программу организационных мероприятий и инвестиционных проектов, при условии разработки эффективных механизмов их реализации и поддержки со стороны местных администраций, позволит достичь целевых показателей программы комплексного развития социальной инфраструктуры Оекскогомуниципального образования на расчетный срок.</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Достижение целевых индикаторов в результате реализации программы комплексного развития характеризует будущую модель социальной инфраструктуры поселения.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Целевые индикаторы и показатели программы представлены в таблице 7.1.</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Таблица 7.1 - Целевые индикаторы Программы</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tbl>
      <w:tblPr>
        <w:tblW w:w="7596"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79"/>
        <w:gridCol w:w="2443"/>
        <w:gridCol w:w="1247"/>
        <w:gridCol w:w="683"/>
        <w:gridCol w:w="683"/>
        <w:gridCol w:w="683"/>
        <w:gridCol w:w="695"/>
        <w:gridCol w:w="683"/>
      </w:tblGrid>
      <w:tr w:rsidR="00DD4B6C" w:rsidRPr="00DD4B6C" w:rsidTr="00DD4B6C">
        <w:trPr>
          <w:tblCellSpacing w:w="0" w:type="dxa"/>
        </w:trPr>
        <w:tc>
          <w:tcPr>
            <w:tcW w:w="480"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lastRenderedPageBreak/>
              <w:t>№</w:t>
            </w: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п/п</w:t>
            </w:r>
          </w:p>
        </w:tc>
        <w:tc>
          <w:tcPr>
            <w:tcW w:w="2448"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Наименование</w:t>
            </w: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индикатора</w:t>
            </w:r>
          </w:p>
        </w:tc>
        <w:tc>
          <w:tcPr>
            <w:tcW w:w="1248"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Единица</w:t>
            </w: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измерения</w:t>
            </w:r>
          </w:p>
        </w:tc>
        <w:tc>
          <w:tcPr>
            <w:tcW w:w="3420" w:type="dxa"/>
            <w:gridSpan w:val="5"/>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Показатели по годам</w:t>
            </w:r>
          </w:p>
        </w:tc>
      </w:tr>
      <w:tr w:rsidR="00DD4B6C" w:rsidRPr="00DD4B6C" w:rsidTr="00DD4B6C">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2018</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2019</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2020</w:t>
            </w:r>
          </w:p>
        </w:tc>
        <w:tc>
          <w:tcPr>
            <w:tcW w:w="696"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2021</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2021</w:t>
            </w: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2030</w:t>
            </w:r>
          </w:p>
        </w:tc>
      </w:tr>
      <w:tr w:rsidR="00DD4B6C" w:rsidRPr="00DD4B6C" w:rsidTr="00DD4B6C">
        <w:trPr>
          <w:tblCellSpacing w:w="0" w:type="dxa"/>
        </w:trPr>
        <w:tc>
          <w:tcPr>
            <w:tcW w:w="480"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w:t>
            </w:r>
          </w:p>
        </w:tc>
        <w:tc>
          <w:tcPr>
            <w:tcW w:w="2448"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Ожидаемая</w:t>
            </w: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продолжительность жизни</w:t>
            </w:r>
          </w:p>
        </w:tc>
        <w:tc>
          <w:tcPr>
            <w:tcW w:w="1248"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лет</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71</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72</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72,5</w:t>
            </w:r>
          </w:p>
        </w:tc>
        <w:tc>
          <w:tcPr>
            <w:tcW w:w="696"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73</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73,5</w:t>
            </w:r>
          </w:p>
        </w:tc>
      </w:tr>
      <w:tr w:rsidR="00DD4B6C" w:rsidRPr="00DD4B6C" w:rsidTr="00DD4B6C">
        <w:trPr>
          <w:tblCellSpacing w:w="0" w:type="dxa"/>
        </w:trPr>
        <w:tc>
          <w:tcPr>
            <w:tcW w:w="480"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w:t>
            </w:r>
          </w:p>
        </w:tc>
        <w:tc>
          <w:tcPr>
            <w:tcW w:w="2448"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Показатель рождаемости</w:t>
            </w:r>
          </w:p>
        </w:tc>
        <w:tc>
          <w:tcPr>
            <w:tcW w:w="1248"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число</w:t>
            </w: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родившихся на 1000 чел населения</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13</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13,5</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w:t>
            </w:r>
          </w:p>
        </w:tc>
        <w:tc>
          <w:tcPr>
            <w:tcW w:w="696"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14,5</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16</w:t>
            </w:r>
          </w:p>
        </w:tc>
      </w:tr>
      <w:tr w:rsidR="00DD4B6C" w:rsidRPr="00DD4B6C" w:rsidTr="00DD4B6C">
        <w:trPr>
          <w:tblCellSpacing w:w="0" w:type="dxa"/>
        </w:trPr>
        <w:tc>
          <w:tcPr>
            <w:tcW w:w="480"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3</w:t>
            </w:r>
          </w:p>
        </w:tc>
        <w:tc>
          <w:tcPr>
            <w:tcW w:w="2448"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Доля детей в возрасте от 3 до 7 лет, охваченных дошкольным образованием</w:t>
            </w:r>
          </w:p>
        </w:tc>
        <w:tc>
          <w:tcPr>
            <w:tcW w:w="1248"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c>
          <w:tcPr>
            <w:tcW w:w="696"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r>
      <w:tr w:rsidR="00DD4B6C" w:rsidRPr="00DD4B6C" w:rsidTr="00DD4B6C">
        <w:trPr>
          <w:tblCellSpacing w:w="0" w:type="dxa"/>
        </w:trPr>
        <w:tc>
          <w:tcPr>
            <w:tcW w:w="480"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w:t>
            </w:r>
          </w:p>
        </w:tc>
        <w:tc>
          <w:tcPr>
            <w:tcW w:w="2448"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Доля детей, охваченных школьным образованием</w:t>
            </w:r>
          </w:p>
        </w:tc>
        <w:tc>
          <w:tcPr>
            <w:tcW w:w="1248"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c>
          <w:tcPr>
            <w:tcW w:w="696"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r>
      <w:tr w:rsidR="00DD4B6C" w:rsidRPr="00DD4B6C" w:rsidTr="00DD4B6C">
        <w:trPr>
          <w:tblCellSpacing w:w="0" w:type="dxa"/>
        </w:trPr>
        <w:tc>
          <w:tcPr>
            <w:tcW w:w="480"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w:t>
            </w:r>
          </w:p>
        </w:tc>
        <w:tc>
          <w:tcPr>
            <w:tcW w:w="2448"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Уровень обеспеченности населения объектами здравоохранения</w:t>
            </w:r>
          </w:p>
        </w:tc>
        <w:tc>
          <w:tcPr>
            <w:tcW w:w="1248"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c>
          <w:tcPr>
            <w:tcW w:w="696"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r>
      <w:tr w:rsidR="00DD4B6C" w:rsidRPr="00DD4B6C" w:rsidTr="00DD4B6C">
        <w:trPr>
          <w:tblCellSpacing w:w="0" w:type="dxa"/>
        </w:trPr>
        <w:tc>
          <w:tcPr>
            <w:tcW w:w="480"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w:t>
            </w:r>
          </w:p>
        </w:tc>
        <w:tc>
          <w:tcPr>
            <w:tcW w:w="2448"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Удельный вес населения, систематически занимающегося физической культурой и спортом</w:t>
            </w:r>
          </w:p>
        </w:tc>
        <w:tc>
          <w:tcPr>
            <w:tcW w:w="1248"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21</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22</w:t>
            </w:r>
          </w:p>
        </w:tc>
        <w:tc>
          <w:tcPr>
            <w:tcW w:w="696"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24</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26</w:t>
            </w:r>
          </w:p>
        </w:tc>
      </w:tr>
      <w:tr w:rsidR="00DD4B6C" w:rsidRPr="00DD4B6C" w:rsidTr="00DD4B6C">
        <w:trPr>
          <w:tblCellSpacing w:w="0" w:type="dxa"/>
        </w:trPr>
        <w:tc>
          <w:tcPr>
            <w:tcW w:w="480"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w:t>
            </w:r>
          </w:p>
        </w:tc>
        <w:tc>
          <w:tcPr>
            <w:tcW w:w="2448"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Уровень безработицы</w:t>
            </w:r>
          </w:p>
        </w:tc>
        <w:tc>
          <w:tcPr>
            <w:tcW w:w="1248"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6,0</w:t>
            </w: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5,5</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5,0</w:t>
            </w:r>
          </w:p>
        </w:tc>
        <w:tc>
          <w:tcPr>
            <w:tcW w:w="696"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4,5</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4,0</w:t>
            </w:r>
          </w:p>
        </w:tc>
      </w:tr>
      <w:tr w:rsidR="00DD4B6C" w:rsidRPr="00DD4B6C" w:rsidTr="00DD4B6C">
        <w:trPr>
          <w:tblCellSpacing w:w="0" w:type="dxa"/>
        </w:trPr>
        <w:tc>
          <w:tcPr>
            <w:tcW w:w="480"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8</w:t>
            </w:r>
          </w:p>
        </w:tc>
        <w:tc>
          <w:tcPr>
            <w:tcW w:w="2448"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Доля населения, обеспеченная объектами культуры в соответствии с нормативными значениями</w:t>
            </w:r>
          </w:p>
        </w:tc>
        <w:tc>
          <w:tcPr>
            <w:tcW w:w="1248"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80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80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80</w:t>
            </w:r>
          </w:p>
        </w:tc>
        <w:tc>
          <w:tcPr>
            <w:tcW w:w="696"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80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r>
      <w:tr w:rsidR="00DD4B6C" w:rsidRPr="00DD4B6C" w:rsidTr="00DD4B6C">
        <w:trPr>
          <w:tblCellSpacing w:w="0" w:type="dxa"/>
        </w:trPr>
        <w:tc>
          <w:tcPr>
            <w:tcW w:w="480"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w:t>
            </w:r>
          </w:p>
        </w:tc>
        <w:tc>
          <w:tcPr>
            <w:tcW w:w="2448"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Увеличение доли населения обеспеченной спортивными объектами в соответствии с нормативными значениями</w:t>
            </w:r>
          </w:p>
        </w:tc>
        <w:tc>
          <w:tcPr>
            <w:tcW w:w="1248"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50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60</w:t>
            </w:r>
          </w:p>
        </w:tc>
        <w:tc>
          <w:tcPr>
            <w:tcW w:w="696"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80</w:t>
            </w:r>
          </w:p>
        </w:tc>
        <w:tc>
          <w:tcPr>
            <w:tcW w:w="684" w:type="dxa"/>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p>
          <w:p w:rsidR="00DD4B6C" w:rsidRPr="00DD4B6C" w:rsidRDefault="00DD4B6C" w:rsidP="00DD4B6C">
            <w:pPr>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r>
    </w:tbl>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bookmarkStart w:id="27" w:name="_Toc496710903"/>
      <w:bookmarkEnd w:id="27"/>
      <w:r w:rsidRPr="00DD4B6C">
        <w:rPr>
          <w:rFonts w:ascii="Tahoma" w:eastAsia="Times New Roman" w:hAnsi="Tahoma" w:cs="Tahoma"/>
          <w:b/>
          <w:bCs/>
          <w:color w:val="2C2C2C"/>
          <w:sz w:val="20"/>
          <w:szCs w:val="20"/>
          <w:lang w:eastAsia="ru-RU"/>
        </w:rPr>
        <w:t>8. ЭФФЕКТИВНОСТЬ МЕРОПРИЯТИЙ ПО РАЗВИТИЮ СЕТИ ОБЪЕКТОВ СОЦИАЛЬНОЙ ИНФРАСТРУКТУРЫ</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Реализация мероприятий по строительству, реконструкции объектов социальной инфраструктуры сельского поселения позволит достичь определенных социальных эффектов:</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Формирование сбалансированного рынка труда и занятости населения за счет увеличения количества мест приложения труда, снижения уровня безработицы, создания условий для привлечения на территорию поселения квалифицированных кадров.</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Создание условий для развития таких отраслей, как образование, физическая культура и массовый спорт, культура.</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Улучшение качества жизни населения сельского поселения за счет увеличения уровня обеспеченности объектами социальной инфраструктуры.</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lastRenderedPageBreak/>
        <w:t>Показатели социальной эффективности мероприятий по развитию сети объектов социальной инфраструктуры в Оекского МО приведены ниже (Таблица 8.1).</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Таблица 8.1 - Показатели социальной эффективности мероприятий по развитию сети объектов социальной инфраструктуры</w:t>
      </w:r>
    </w:p>
    <w:tbl>
      <w:tblPr>
        <w:tblW w:w="9243"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983"/>
        <w:gridCol w:w="1639"/>
        <w:gridCol w:w="600"/>
        <w:gridCol w:w="1021"/>
      </w:tblGrid>
      <w:tr w:rsidR="00DD4B6C" w:rsidRPr="00DD4B6C" w:rsidTr="00DD4B6C">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after="240"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Вид объекта</w:t>
            </w:r>
          </w:p>
        </w:tc>
        <w:tc>
          <w:tcPr>
            <w:tcW w:w="8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Количество</w:t>
            </w:r>
            <w:r w:rsidRPr="00DD4B6C">
              <w:rPr>
                <w:rFonts w:ascii="Tahoma" w:eastAsia="Times New Roman" w:hAnsi="Tahoma" w:cs="Tahoma"/>
                <w:color w:val="2C2C2C"/>
                <w:sz w:val="20"/>
                <w:szCs w:val="20"/>
                <w:lang w:eastAsia="ru-RU"/>
              </w:rPr>
              <w:br/>
              <w:t>создаваемых</w:t>
            </w:r>
            <w:r w:rsidRPr="00DD4B6C">
              <w:rPr>
                <w:rFonts w:ascii="Tahoma" w:eastAsia="Times New Roman" w:hAnsi="Tahoma" w:cs="Tahoma"/>
                <w:color w:val="2C2C2C"/>
                <w:sz w:val="20"/>
                <w:szCs w:val="20"/>
                <w:lang w:eastAsia="ru-RU"/>
              </w:rPr>
              <w:br/>
              <w:t>рабочих</w:t>
            </w:r>
            <w:r w:rsidRPr="00DD4B6C">
              <w:rPr>
                <w:rFonts w:ascii="Tahoma" w:eastAsia="Times New Roman" w:hAnsi="Tahoma" w:cs="Tahoma"/>
                <w:color w:val="2C2C2C"/>
                <w:sz w:val="20"/>
                <w:szCs w:val="20"/>
                <w:lang w:eastAsia="ru-RU"/>
              </w:rPr>
              <w:br/>
              <w:t>мест</w:t>
            </w:r>
          </w:p>
        </w:tc>
        <w:tc>
          <w:tcPr>
            <w:tcW w:w="19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Уровень обеспеченности населения объектами социальной инфраструктуры, %</w:t>
            </w:r>
          </w:p>
        </w:tc>
      </w:tr>
      <w:tr w:rsidR="00DD4B6C" w:rsidRPr="00DD4B6C" w:rsidTr="00DD4B6C">
        <w:trPr>
          <w:tblCellSpacing w:w="0" w:type="dxa"/>
        </w:trPr>
        <w:tc>
          <w:tcPr>
            <w:tcW w:w="26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8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2018 год</w:t>
            </w:r>
          </w:p>
        </w:tc>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2030 год</w:t>
            </w:r>
          </w:p>
        </w:tc>
      </w:tr>
      <w:tr w:rsidR="00DD4B6C" w:rsidRPr="00DD4B6C" w:rsidTr="00DD4B6C">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Дошкольные образовательные</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p>
        </w:tc>
        <w:tc>
          <w:tcPr>
            <w:tcW w:w="7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br/>
              <w:t>90</w:t>
            </w:r>
          </w:p>
        </w:tc>
        <w:tc>
          <w:tcPr>
            <w:tcW w:w="12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br/>
              <w:t>100</w:t>
            </w:r>
          </w:p>
        </w:tc>
      </w:tr>
      <w:tr w:rsidR="00DD4B6C" w:rsidRPr="00DD4B6C" w:rsidTr="00DD4B6C">
        <w:trPr>
          <w:tblCellSpacing w:w="0" w:type="dxa"/>
        </w:trPr>
        <w:tc>
          <w:tcPr>
            <w:tcW w:w="36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организации</w:t>
            </w:r>
          </w:p>
        </w:tc>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Общеобразовательные организации</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80</w:t>
            </w:r>
          </w:p>
        </w:tc>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r>
      <w:tr w:rsidR="00DD4B6C" w:rsidRPr="00DD4B6C" w:rsidTr="00DD4B6C">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Организации дополнительного</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p>
        </w:tc>
        <w:tc>
          <w:tcPr>
            <w:tcW w:w="7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br/>
              <w:t>85</w:t>
            </w:r>
          </w:p>
        </w:tc>
        <w:tc>
          <w:tcPr>
            <w:tcW w:w="12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br/>
              <w:t>100</w:t>
            </w:r>
          </w:p>
        </w:tc>
      </w:tr>
      <w:tr w:rsidR="00DD4B6C" w:rsidRPr="00DD4B6C" w:rsidTr="00DD4B6C">
        <w:trPr>
          <w:tblCellSpacing w:w="0" w:type="dxa"/>
        </w:trPr>
        <w:tc>
          <w:tcPr>
            <w:tcW w:w="365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образования</w:t>
            </w:r>
          </w:p>
        </w:tc>
        <w:tc>
          <w:tcPr>
            <w:tcW w:w="13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p>
        </w:tc>
      </w:tr>
      <w:tr w:rsidR="00DD4B6C" w:rsidRPr="00DD4B6C" w:rsidTr="00DD4B6C">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Учреждения культуры клубного типа</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70</w:t>
            </w:r>
          </w:p>
        </w:tc>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r>
      <w:tr w:rsidR="00DD4B6C" w:rsidRPr="00DD4B6C" w:rsidTr="00DD4B6C">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Библиотеки</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80</w:t>
            </w:r>
          </w:p>
        </w:tc>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r>
      <w:tr w:rsidR="00DD4B6C" w:rsidRPr="00DD4B6C" w:rsidTr="00DD4B6C">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Музеи</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r>
      <w:tr w:rsidR="00DD4B6C" w:rsidRPr="00DD4B6C" w:rsidTr="00DD4B6C">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Физкультурно-спортивные залы</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60</w:t>
            </w:r>
          </w:p>
        </w:tc>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r>
      <w:tr w:rsidR="00DD4B6C" w:rsidRPr="00DD4B6C" w:rsidTr="00DD4B6C">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Плавательные бассейны</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15</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w:t>
            </w:r>
          </w:p>
        </w:tc>
      </w:tr>
      <w:tr w:rsidR="00DD4B6C" w:rsidRPr="00DD4B6C" w:rsidTr="00DD4B6C">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Плоскостные сооружения</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60</w:t>
            </w:r>
          </w:p>
        </w:tc>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r>
      <w:tr w:rsidR="00DD4B6C" w:rsidRPr="00DD4B6C" w:rsidTr="00DD4B6C">
        <w:trPr>
          <w:tblCellSpacing w:w="0" w:type="dxa"/>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Объекты здравоохранения</w:t>
            </w:r>
          </w:p>
        </w:tc>
        <w:tc>
          <w:tcPr>
            <w:tcW w:w="8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20</w:t>
            </w:r>
          </w:p>
        </w:tc>
        <w:tc>
          <w:tcPr>
            <w:tcW w:w="7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90</w:t>
            </w:r>
          </w:p>
        </w:tc>
        <w:tc>
          <w:tcPr>
            <w:tcW w:w="1200" w:type="pct"/>
            <w:tcBorders>
              <w:top w:val="outset" w:sz="6" w:space="0" w:color="auto"/>
              <w:left w:val="outset" w:sz="6" w:space="0" w:color="auto"/>
              <w:bottom w:val="outset" w:sz="6" w:space="0" w:color="auto"/>
              <w:right w:val="outset" w:sz="6" w:space="0" w:color="auto"/>
            </w:tcBorders>
            <w:shd w:val="clear" w:color="auto" w:fill="FFFFFF"/>
            <w:hideMark/>
          </w:tcPr>
          <w:p w:rsidR="00DD4B6C" w:rsidRPr="00DD4B6C" w:rsidRDefault="00DD4B6C" w:rsidP="00DD4B6C">
            <w:pPr>
              <w:spacing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100</w:t>
            </w:r>
          </w:p>
        </w:tc>
      </w:tr>
    </w:tbl>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Создание новых рабочих мест, которые предусматриваются мероприятиями программы комплексного развития социальной инфраструктуры, приведет к увеличению налоговых доходов за счет увеличения поступлений налога на доходы физических лиц в бюджет Иркутского района и Оекского МО.</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p>
    <w:p w:rsidR="00DD4B6C" w:rsidRPr="00DD4B6C" w:rsidRDefault="00DD4B6C" w:rsidP="00DD4B6C">
      <w:pPr>
        <w:shd w:val="clear" w:color="auto" w:fill="FFFFFF"/>
        <w:spacing w:after="96" w:line="240" w:lineRule="auto"/>
        <w:ind w:firstLine="0"/>
        <w:jc w:val="center"/>
        <w:rPr>
          <w:rFonts w:ascii="Tahoma" w:eastAsia="Times New Roman" w:hAnsi="Tahoma" w:cs="Tahoma"/>
          <w:color w:val="2C2C2C"/>
          <w:sz w:val="20"/>
          <w:szCs w:val="20"/>
          <w:lang w:eastAsia="ru-RU"/>
        </w:rPr>
      </w:pPr>
      <w:r w:rsidRPr="00DD4B6C">
        <w:rPr>
          <w:rFonts w:ascii="Tahoma" w:eastAsia="Times New Roman" w:hAnsi="Tahoma" w:cs="Tahoma"/>
          <w:b/>
          <w:bCs/>
          <w:color w:val="2C2C2C"/>
          <w:sz w:val="20"/>
          <w:szCs w:val="20"/>
          <w:lang w:eastAsia="ru-RU"/>
        </w:rPr>
        <w:t>9. ПРЕДЛОЖЕНИЯ ПО СОВЕРШЕНСТВОВАНИЮ НОРМАТИВНО – ПРАВОВОГО И ИНФОРМАЦИОННОГО ОБЕСПЕЧЕНИЯ РАЗВИТИЯ СОЦИАЛЬНОЙ ИНФРАСТРУКТУРЫ</w:t>
      </w:r>
    </w:p>
    <w:p w:rsidR="00DD4B6C" w:rsidRPr="00DD4B6C" w:rsidRDefault="00DD4B6C" w:rsidP="00DD4B6C">
      <w:pPr>
        <w:spacing w:line="240" w:lineRule="auto"/>
        <w:ind w:firstLine="0"/>
        <w:jc w:val="left"/>
        <w:rPr>
          <w:rFonts w:eastAsia="Times New Roman" w:cs="Times New Roman"/>
          <w:sz w:val="24"/>
          <w:szCs w:val="24"/>
          <w:lang w:eastAsia="ru-RU"/>
        </w:rPr>
      </w:pPr>
      <w:r w:rsidRPr="00DD4B6C">
        <w:rPr>
          <w:rFonts w:ascii="Tahoma" w:eastAsia="Times New Roman" w:hAnsi="Tahoma" w:cs="Tahoma"/>
          <w:color w:val="2C2C2C"/>
          <w:sz w:val="20"/>
          <w:szCs w:val="20"/>
          <w:lang w:eastAsia="ru-RU"/>
        </w:rPr>
        <w:br/>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Реализация Программы осуществляется через систему программных мероприятий разрабатываемых муниципальных программ Оекского муниципального образования Иркутского района, а также с учетом федеральных проектов и программ, государственных программ Иркутской области и муниципальных программ муниципального образования Иркутский район, реализуемых на территории поселения.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В соответствии с изложенной в Программе политикой администрация Оекского муниципального образования должна разрабатывать муниципальные программы, конкретизировать мероприятия, способствующие достижению стратегических целей и решению поставленных Программой задач.</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 xml:space="preserve">Программа реализуется на всей территории Оекского муниципального образования. Контроль над исполнением Программы осуществляет администрация Оекского муниципального образования. Организационная структура управления Программой базируется на существующей системе представительной и исполнительной власти муниципального образования. Выполнение оперативных функций по реализации Программы возлагается на специалистов администрации муниципального образования, муниципальные учреждения МО. Для оценки эффективности реализации Программы администрацией муниципального образования проводится ежегодный мониторинг. Программа подлежит корректировке или пересмотру при вступлении в силу приказов, распоряжений, методических указаний и других нормативных актов, регламентирующих требования к программам комплексного развития социальной инфраструктуры, документам территориального планирования и сопутствующим схемам и программам. Программа может корректироваться в зависимости от обеспечения финансирования, изменение условий функционирования и </w:t>
      </w:r>
      <w:r w:rsidRPr="00DD4B6C">
        <w:rPr>
          <w:rFonts w:ascii="Tahoma" w:eastAsia="Times New Roman" w:hAnsi="Tahoma" w:cs="Tahoma"/>
          <w:color w:val="2C2C2C"/>
          <w:sz w:val="20"/>
          <w:szCs w:val="20"/>
          <w:lang w:eastAsia="ru-RU"/>
        </w:rPr>
        <w:lastRenderedPageBreak/>
        <w:t>потребностей объектов социальной инфраструктуры, повлекшие значительное отклонение фактических показателей (индикаторов мониторинга) эффективности функционирования систем по отношению к показателям, предусмотренных Программой.</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Инвестиционные программы утверждаются в соответствии с законодательством с учетом соответствия мероприятий и сроков инвестиционной программы Программе комплексного развития социальной инфраструктуры. При этом уточняются необходимые объемы финансирования, и приводится обоснование по источникам финансирования: собственные средства, привлеченные средства, средства внебюджетных источников, прочие источники.</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Мониторинг Программы комплексного развития социальной инфраструктуры муниципального образования включает два этапа:</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Периодический сбор информации о результатах выполнения мероприятий Программы, а также информации о состоянии и развитии социальной инфраструктуры;</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Анализ данных о результатах проводимых преобразований социальной инфраструктуры.</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Мониторинг Программы комплексного развития социальной инфраструктуры муниципального образования предусматривает сопоставление и сравнение значений показателей во временном аспекте. По ежегодным результатам мониторинга осуществляется своевременная корректировка Программы. Решение о корректировке Программы принимается представительным органом муниципального образования по итогам ежегодного рассмотрения отчета о ходе реализации Программы или по представлению главы муниципального образования.</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Развитие информационного обеспечения деятельности в сфере проектирования, строительства, реконструкции объектов социальной инфраструктуры связано, в первую очередь, с необходимостью оперативного обеспечения граждан и организаций достоверной, актуальной, юридически значимой информацией о современном и планируемом состоянии территории муниципальных образований Иркутского района в электронном виде, реализацией возможности получить в электронном виде ключевые документы, необходимые для осуществления инвестиционной деятельности по реализации социальных проектов, от разработки градостроительной документации и предоставления земельного участка до ввода объекта в эксплуатацию.</w:t>
      </w:r>
    </w:p>
    <w:p w:rsidR="00DD4B6C" w:rsidRPr="00DD4B6C" w:rsidRDefault="00DD4B6C" w:rsidP="00DD4B6C">
      <w:pPr>
        <w:shd w:val="clear" w:color="auto" w:fill="FFFFFF"/>
        <w:spacing w:after="96" w:line="240" w:lineRule="auto"/>
        <w:ind w:firstLine="0"/>
        <w:rPr>
          <w:rFonts w:ascii="Tahoma" w:eastAsia="Times New Roman" w:hAnsi="Tahoma" w:cs="Tahoma"/>
          <w:color w:val="2C2C2C"/>
          <w:sz w:val="20"/>
          <w:szCs w:val="20"/>
          <w:lang w:eastAsia="ru-RU"/>
        </w:rPr>
      </w:pPr>
      <w:r w:rsidRPr="00DD4B6C">
        <w:rPr>
          <w:rFonts w:ascii="Tahoma" w:eastAsia="Times New Roman" w:hAnsi="Tahoma" w:cs="Tahoma"/>
          <w:color w:val="2C2C2C"/>
          <w:sz w:val="20"/>
          <w:szCs w:val="20"/>
          <w:lang w:eastAsia="ru-RU"/>
        </w:rPr>
        <w:t>Кроме того, автоматизация процессов предоставления муниципальных услуг в сфере строительства позволит сократить истинные сроки инвестиционного цикла в строительстве от предоставления земельного участка до ввода объекта в эксплуатацию, улучшить функционирования и взаимодействия органов местного самоуправления не только между собой, но и с органами исполнительной власти субъекта РФ при осуществлении градостроительной деятельности и предоставлении муниципальных услуг.</w:t>
      </w:r>
    </w:p>
    <w:p w:rsidR="003E0016" w:rsidRPr="00A806FF" w:rsidRDefault="003E0016" w:rsidP="00A806FF">
      <w:bookmarkStart w:id="28" w:name="_GoBack"/>
      <w:bookmarkEnd w:id="28"/>
    </w:p>
    <w:sectPr w:rsidR="003E0016" w:rsidRPr="00A806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F05D8A"/>
    <w:multiLevelType w:val="multilevel"/>
    <w:tmpl w:val="717C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0FA8"/>
    <w:multiLevelType w:val="multilevel"/>
    <w:tmpl w:val="99CE0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BC1F14"/>
    <w:multiLevelType w:val="multilevel"/>
    <w:tmpl w:val="DF6CB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F10E91"/>
    <w:multiLevelType w:val="multilevel"/>
    <w:tmpl w:val="F7449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4979A0"/>
    <w:multiLevelType w:val="multilevel"/>
    <w:tmpl w:val="6824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F859EE"/>
    <w:multiLevelType w:val="multilevel"/>
    <w:tmpl w:val="89C24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126AD9"/>
    <w:multiLevelType w:val="multilevel"/>
    <w:tmpl w:val="9EB62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C46410"/>
    <w:multiLevelType w:val="multilevel"/>
    <w:tmpl w:val="2EDAA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5653087"/>
    <w:multiLevelType w:val="multilevel"/>
    <w:tmpl w:val="DC2C3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06D5FA3"/>
    <w:multiLevelType w:val="multilevel"/>
    <w:tmpl w:val="98CC5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D9170DF"/>
    <w:multiLevelType w:val="multilevel"/>
    <w:tmpl w:val="F5429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DD76A0D"/>
    <w:multiLevelType w:val="multilevel"/>
    <w:tmpl w:val="6204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E1F3778"/>
    <w:multiLevelType w:val="multilevel"/>
    <w:tmpl w:val="84344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35822E5"/>
    <w:multiLevelType w:val="multilevel"/>
    <w:tmpl w:val="DD64D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60F3463"/>
    <w:multiLevelType w:val="multilevel"/>
    <w:tmpl w:val="EFE60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4AB4D45"/>
    <w:multiLevelType w:val="multilevel"/>
    <w:tmpl w:val="0C489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A1039F6"/>
    <w:multiLevelType w:val="multilevel"/>
    <w:tmpl w:val="AA96E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B654C85"/>
    <w:multiLevelType w:val="multilevel"/>
    <w:tmpl w:val="98884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FE97FBA"/>
    <w:multiLevelType w:val="multilevel"/>
    <w:tmpl w:val="C8D8B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9B15CDE"/>
    <w:multiLevelType w:val="multilevel"/>
    <w:tmpl w:val="0B922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C077C46"/>
    <w:multiLevelType w:val="multilevel"/>
    <w:tmpl w:val="AEA0D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6"/>
  </w:num>
  <w:num w:numId="3">
    <w:abstractNumId w:val="0"/>
  </w:num>
  <w:num w:numId="4">
    <w:abstractNumId w:val="23"/>
  </w:num>
  <w:num w:numId="5">
    <w:abstractNumId w:val="25"/>
  </w:num>
  <w:num w:numId="6">
    <w:abstractNumId w:val="5"/>
  </w:num>
  <w:num w:numId="7">
    <w:abstractNumId w:val="19"/>
  </w:num>
  <w:num w:numId="8">
    <w:abstractNumId w:val="11"/>
  </w:num>
  <w:num w:numId="9">
    <w:abstractNumId w:val="45"/>
  </w:num>
  <w:num w:numId="10">
    <w:abstractNumId w:val="44"/>
  </w:num>
  <w:num w:numId="11">
    <w:abstractNumId w:val="14"/>
  </w:num>
  <w:num w:numId="12">
    <w:abstractNumId w:val="28"/>
  </w:num>
  <w:num w:numId="13">
    <w:abstractNumId w:val="21"/>
  </w:num>
  <w:num w:numId="14">
    <w:abstractNumId w:val="12"/>
  </w:num>
  <w:num w:numId="15">
    <w:abstractNumId w:val="15"/>
  </w:num>
  <w:num w:numId="16">
    <w:abstractNumId w:val="24"/>
  </w:num>
  <w:num w:numId="17">
    <w:abstractNumId w:val="36"/>
  </w:num>
  <w:num w:numId="18">
    <w:abstractNumId w:val="34"/>
  </w:num>
  <w:num w:numId="19">
    <w:abstractNumId w:val="7"/>
  </w:num>
  <w:num w:numId="20">
    <w:abstractNumId w:val="3"/>
  </w:num>
  <w:num w:numId="21">
    <w:abstractNumId w:val="9"/>
  </w:num>
  <w:num w:numId="22">
    <w:abstractNumId w:val="26"/>
  </w:num>
  <w:num w:numId="23">
    <w:abstractNumId w:val="42"/>
  </w:num>
  <w:num w:numId="24">
    <w:abstractNumId w:val="38"/>
  </w:num>
  <w:num w:numId="25">
    <w:abstractNumId w:val="17"/>
  </w:num>
  <w:num w:numId="26">
    <w:abstractNumId w:val="30"/>
  </w:num>
  <w:num w:numId="27">
    <w:abstractNumId w:val="8"/>
  </w:num>
  <w:num w:numId="28">
    <w:abstractNumId w:val="46"/>
  </w:num>
  <w:num w:numId="29">
    <w:abstractNumId w:val="32"/>
  </w:num>
  <w:num w:numId="30">
    <w:abstractNumId w:val="31"/>
  </w:num>
  <w:num w:numId="31">
    <w:abstractNumId w:val="39"/>
  </w:num>
  <w:num w:numId="32">
    <w:abstractNumId w:val="2"/>
  </w:num>
  <w:num w:numId="33">
    <w:abstractNumId w:val="1"/>
  </w:num>
  <w:num w:numId="34">
    <w:abstractNumId w:val="13"/>
  </w:num>
  <w:num w:numId="35">
    <w:abstractNumId w:val="16"/>
  </w:num>
  <w:num w:numId="36">
    <w:abstractNumId w:val="41"/>
  </w:num>
  <w:num w:numId="37">
    <w:abstractNumId w:val="4"/>
  </w:num>
  <w:num w:numId="38">
    <w:abstractNumId w:val="37"/>
  </w:num>
  <w:num w:numId="39">
    <w:abstractNumId w:val="47"/>
  </w:num>
  <w:num w:numId="40">
    <w:abstractNumId w:val="35"/>
  </w:num>
  <w:num w:numId="41">
    <w:abstractNumId w:val="40"/>
  </w:num>
  <w:num w:numId="42">
    <w:abstractNumId w:val="43"/>
  </w:num>
  <w:num w:numId="43">
    <w:abstractNumId w:val="18"/>
  </w:num>
  <w:num w:numId="44">
    <w:abstractNumId w:val="10"/>
  </w:num>
  <w:num w:numId="45">
    <w:abstractNumId w:val="33"/>
  </w:num>
  <w:num w:numId="46">
    <w:abstractNumId w:val="27"/>
  </w:num>
  <w:num w:numId="47">
    <w:abstractNumId w:val="22"/>
  </w:num>
  <w:num w:numId="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83667"/>
    <w:rsid w:val="00186E16"/>
    <w:rsid w:val="00191E71"/>
    <w:rsid w:val="00195E15"/>
    <w:rsid w:val="001A56AA"/>
    <w:rsid w:val="001A6A05"/>
    <w:rsid w:val="001B12F1"/>
    <w:rsid w:val="001B16A7"/>
    <w:rsid w:val="001B5751"/>
    <w:rsid w:val="001B6920"/>
    <w:rsid w:val="001C729C"/>
    <w:rsid w:val="001C77CA"/>
    <w:rsid w:val="001D350F"/>
    <w:rsid w:val="001D6334"/>
    <w:rsid w:val="001E5790"/>
    <w:rsid w:val="001E7405"/>
    <w:rsid w:val="001F205C"/>
    <w:rsid w:val="001F3840"/>
    <w:rsid w:val="001F686A"/>
    <w:rsid w:val="001F6DF8"/>
    <w:rsid w:val="0020046C"/>
    <w:rsid w:val="0020517E"/>
    <w:rsid w:val="00206BF2"/>
    <w:rsid w:val="00220512"/>
    <w:rsid w:val="0023253F"/>
    <w:rsid w:val="002409D4"/>
    <w:rsid w:val="00241C0E"/>
    <w:rsid w:val="00243FE3"/>
    <w:rsid w:val="00244306"/>
    <w:rsid w:val="00244514"/>
    <w:rsid w:val="002449A8"/>
    <w:rsid w:val="00255F28"/>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5021"/>
    <w:rsid w:val="00373A7E"/>
    <w:rsid w:val="0037735E"/>
    <w:rsid w:val="003822C7"/>
    <w:rsid w:val="0039089B"/>
    <w:rsid w:val="003A4548"/>
    <w:rsid w:val="003A4928"/>
    <w:rsid w:val="003A53D4"/>
    <w:rsid w:val="003B29EA"/>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C3B"/>
    <w:rsid w:val="004F7538"/>
    <w:rsid w:val="00500DF2"/>
    <w:rsid w:val="00501FA5"/>
    <w:rsid w:val="0051191C"/>
    <w:rsid w:val="005229F3"/>
    <w:rsid w:val="00522F5A"/>
    <w:rsid w:val="005274DB"/>
    <w:rsid w:val="0052765B"/>
    <w:rsid w:val="00532B92"/>
    <w:rsid w:val="00550C8A"/>
    <w:rsid w:val="00551A7B"/>
    <w:rsid w:val="00556AF8"/>
    <w:rsid w:val="005629A1"/>
    <w:rsid w:val="005635B7"/>
    <w:rsid w:val="00572249"/>
    <w:rsid w:val="005722CD"/>
    <w:rsid w:val="00573EF8"/>
    <w:rsid w:val="00576FDD"/>
    <w:rsid w:val="0058601E"/>
    <w:rsid w:val="0058769B"/>
    <w:rsid w:val="00591862"/>
    <w:rsid w:val="00594145"/>
    <w:rsid w:val="005A0B69"/>
    <w:rsid w:val="005A2BB6"/>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34460"/>
    <w:rsid w:val="00640958"/>
    <w:rsid w:val="00644553"/>
    <w:rsid w:val="006562B1"/>
    <w:rsid w:val="00665482"/>
    <w:rsid w:val="00667F9D"/>
    <w:rsid w:val="006713F6"/>
    <w:rsid w:val="006846F2"/>
    <w:rsid w:val="0068552A"/>
    <w:rsid w:val="00686FFA"/>
    <w:rsid w:val="006A187A"/>
    <w:rsid w:val="006A2B86"/>
    <w:rsid w:val="006A45D7"/>
    <w:rsid w:val="006A46D1"/>
    <w:rsid w:val="006A7E4A"/>
    <w:rsid w:val="006C7538"/>
    <w:rsid w:val="006D071C"/>
    <w:rsid w:val="006D6041"/>
    <w:rsid w:val="006F071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C3805"/>
    <w:rsid w:val="007C48A5"/>
    <w:rsid w:val="007C6C5E"/>
    <w:rsid w:val="007D21B9"/>
    <w:rsid w:val="007D2B1A"/>
    <w:rsid w:val="007D65CE"/>
    <w:rsid w:val="007E4D25"/>
    <w:rsid w:val="0080037A"/>
    <w:rsid w:val="008073A6"/>
    <w:rsid w:val="00811121"/>
    <w:rsid w:val="008141DF"/>
    <w:rsid w:val="00816795"/>
    <w:rsid w:val="00821C84"/>
    <w:rsid w:val="008223BA"/>
    <w:rsid w:val="00822683"/>
    <w:rsid w:val="00836131"/>
    <w:rsid w:val="00836F73"/>
    <w:rsid w:val="0084022D"/>
    <w:rsid w:val="00856C4B"/>
    <w:rsid w:val="0086600E"/>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06FF"/>
    <w:rsid w:val="00A8172D"/>
    <w:rsid w:val="00A87684"/>
    <w:rsid w:val="00A92743"/>
    <w:rsid w:val="00A92758"/>
    <w:rsid w:val="00A9398D"/>
    <w:rsid w:val="00A940D1"/>
    <w:rsid w:val="00AB2FD1"/>
    <w:rsid w:val="00AB375D"/>
    <w:rsid w:val="00AC5CF3"/>
    <w:rsid w:val="00AD01F5"/>
    <w:rsid w:val="00AD6860"/>
    <w:rsid w:val="00AE20ED"/>
    <w:rsid w:val="00AE2AD0"/>
    <w:rsid w:val="00AE4319"/>
    <w:rsid w:val="00B003BA"/>
    <w:rsid w:val="00B155D6"/>
    <w:rsid w:val="00B174DE"/>
    <w:rsid w:val="00B31B71"/>
    <w:rsid w:val="00B31D29"/>
    <w:rsid w:val="00B3406B"/>
    <w:rsid w:val="00B46513"/>
    <w:rsid w:val="00B47237"/>
    <w:rsid w:val="00B47805"/>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7587"/>
    <w:rsid w:val="00C14921"/>
    <w:rsid w:val="00C15099"/>
    <w:rsid w:val="00C24ACC"/>
    <w:rsid w:val="00C37E26"/>
    <w:rsid w:val="00C44227"/>
    <w:rsid w:val="00C519B3"/>
    <w:rsid w:val="00C56C12"/>
    <w:rsid w:val="00C57A8A"/>
    <w:rsid w:val="00C63BFC"/>
    <w:rsid w:val="00C67FA7"/>
    <w:rsid w:val="00C710B9"/>
    <w:rsid w:val="00C72BF3"/>
    <w:rsid w:val="00C756E7"/>
    <w:rsid w:val="00C7753D"/>
    <w:rsid w:val="00C8246D"/>
    <w:rsid w:val="00C85742"/>
    <w:rsid w:val="00CA4965"/>
    <w:rsid w:val="00CC0B02"/>
    <w:rsid w:val="00CD0CB7"/>
    <w:rsid w:val="00CD66EA"/>
    <w:rsid w:val="00CD6B02"/>
    <w:rsid w:val="00CE3098"/>
    <w:rsid w:val="00CE3DFC"/>
    <w:rsid w:val="00CE40CC"/>
    <w:rsid w:val="00CE5ECF"/>
    <w:rsid w:val="00D01054"/>
    <w:rsid w:val="00D02A42"/>
    <w:rsid w:val="00D06481"/>
    <w:rsid w:val="00D16551"/>
    <w:rsid w:val="00D176F6"/>
    <w:rsid w:val="00D233B8"/>
    <w:rsid w:val="00D341E1"/>
    <w:rsid w:val="00D500BD"/>
    <w:rsid w:val="00D50320"/>
    <w:rsid w:val="00D5660E"/>
    <w:rsid w:val="00D61700"/>
    <w:rsid w:val="00D76D5D"/>
    <w:rsid w:val="00D92DF1"/>
    <w:rsid w:val="00DA1090"/>
    <w:rsid w:val="00DB27F2"/>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2C74"/>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13"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18"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26"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3" Type="http://schemas.openxmlformats.org/officeDocument/2006/relationships/settings" Target="settings.xml"/><Relationship Id="rId21"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7"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12"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17"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25"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2" Type="http://schemas.openxmlformats.org/officeDocument/2006/relationships/styles" Target="styles.xml"/><Relationship Id="rId16"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20"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29"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1" Type="http://schemas.openxmlformats.org/officeDocument/2006/relationships/numbering" Target="numbering.xml"/><Relationship Id="rId6"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11"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24"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32" Type="http://schemas.openxmlformats.org/officeDocument/2006/relationships/theme" Target="theme/theme1.xml"/><Relationship Id="rId5"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15"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23"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28"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10"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19"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14"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22"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27"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 Id="rId30" Type="http://schemas.openxmlformats.org/officeDocument/2006/relationships/hyperlink" Target="http://oek.su/np_akty/akty_proekty_doc/2535-ob-utverzhdenii-programmy-kompleksnogo-razvitiya-socialnoy-infrastruktury-oekskogo-municipalnogo-obrazovaniya-irkutskogo-rayona-irkutskoy-oblasti-na-period-2018-2030-gg.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845</TotalTime>
  <Pages>30</Pages>
  <Words>12813</Words>
  <Characters>73037</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504</cp:revision>
  <dcterms:created xsi:type="dcterms:W3CDTF">2022-10-31T02:01:00Z</dcterms:created>
  <dcterms:modified xsi:type="dcterms:W3CDTF">2022-11-01T03:52:00Z</dcterms:modified>
</cp:coreProperties>
</file>